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(tehnisko palīglīdzekļu) apmaiņas sistēmu izglītības iestādēm” īstenošanas noteikumi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4. politikas mērķa “Sociālāka un iekļaujošāka Eiropa, īstenojot Eiropas sociālo tiesību pīlāru” 4.2. prioritātes “Izglītība, prasmes un mūžizglītība”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pasākumu “Izveidot asistīvo tehnoloģiju (tehnisko palīglīdzekļu) apmaiņas sistēmu izglītības iestādēm”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Eiropas Reģionālās attīstības fonda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Savienības fonda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izveidot asistīvo tehnoloģiju apmaiņas sistēmu, lai nodrošinātu asistīvo tehnoloģiju pieejamību mērķa grupas izglītojamajiem izglītības programmu apguvei.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kuras īsteno pirmsskolas izglītības programmas, vispārējās pamatizglītības programmas un speciālās pamatizglītības programmas (turpmāk – izglītības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3.2. apakšpunktā minēto izglītības iestāžu izglītojamie no 5 gadu vecuma līdz vispārējās pamatizglītības ieguvei.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ir sasniedzams šāds nacionālais rādītājs: līdz 2027. gada 31. decembrim ir izveidota asistīvo tehnoloģiju izglītības programmu apguvei apmaiņas sistēma izglītības iestādēm.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plānotais kopējais attiecināmais finansējums ir 1 740 000  euro (no tā elastības finansējums – 274 442 euro), tai skaitā Eiropas Reģionālās attīstības fonda finansējums 1 479 000 euro (no tā elastības finansējums – 233 276 euro) un valsts budžeta līdzfinansējums – ne mazāk kā 261 000 euro (no tā elastības finansējums – 41 166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iesniegumā pasākuma īstenošanai kopējo pasākumam pieejamo finansējumu plāno ne vairāk kā 1 465 558 euro apmērā, tai skaitā Eiropas Reģionālās attīstības fonda finansējumu – 1 245 724 euro apmērā un valsts budžeta līdzfinansējumu – 219 834 euro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pasākumam pieejamo kopējo finansējumu līdz šo noteikumu 5. punktā minētajam plānotajam kopējā attiecināmā finansējuma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Reģionālās attīstības fonda finansējums projektā nepārsniedz 85 procentus no projekta kopējām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budžeta līdzfinansējums ir 15 procenti no projekta kopējām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 Projekta iesnieguma minimālais kopējo attiecināmo izmaksu apmērs nav mazāks kā 200 000 euro (ieskaitot).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projektu iesniegumu atlasi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finansējuma saņēmējam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pasākuma ietvaros ir valsts pārvaldes iestāde, kas ir atbildīga par vispārējās izglītības satura īstenošanas pārraudzību, koordinē atbalsta sistēmas darbību, lai nodrošinātu izglītības ieguvi izglītojamajiem ar īpašām vajadzībām, kā arī koordinē interešu izglītības sistēmas darbību un kas pēc projekta iesnieguma apstiprināšanas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Pēc projekta iesnieguma apstiprināšanas šo noteikumu 13. punktā minētais projekta iesniedzējs kļūst par finansējuma saņēmēju.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sagatavo projekta iesniegumu atbilstoši šajos noteikumos un projektu iesniegumu atlases nolikumā noteiktajām prasībām un uzaicinājumā noteiktajā termiņā iesniedz to sadarbības iestādē, izmantojot Kohēzijas politikas fondu vadības informācijas sistēmas elektronisko vidi. Projekta iesniedzējs kārtas ietvaros iesniedz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saņēmējs projektu īsteno kopīgi ar šādiem sadarbības partneriem: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kas dibinājušas izglītības iestādes, kuras īsteno pirmskolas izglītības programmas, vispārējās pamatizglītības programmas un speciālās 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pārvaldes iestādes, kas dibinājušas izglītības iestādes, kuras īsteno vispārējās pamatizglītības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privātās izglītības iestādes, kas īsteno pirmsskolas izglītības programmas un vispārējās pamatizglītības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Pēc projekta iesnieguma apstiprināšanas finansējuma saņēmējs ar katru sadarbības partneri slēdz sadarbības līgumu atbilstoši normatīvajiem aktiem par kārtību, kādā Eiropas Savienības fondu vadībā iesaistītās institūcijas nodrošina šo fondu ieviešanu 2021.–2027. gada plānošanas periodā, paredzot tajā pušu tiesības, pienākumus un atbildību un iekļaujot vismaz šādus saturiskās un finansiālās sadarbības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resursi, ar kādiem sadarbības partneris iesaistās projektā;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īstenojamās atbalstāmās darbības un sasniedzamie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veikšanas kārtība šo noteikumu 18. punktā minēto atbalstāmo darbību īstenošanai un tiešo un netiešo attiecināmo izmaksu segšanai;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kārtība, kādā no sadarbības partnera atgūst neatbilstoši veiktos izdevumus;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dokumentu, pārskatu un citas informācijas aprites un glabāšanas kārtība un termiņi;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īstenošanai nepieciešamie fizisko personu dati un to apstrādes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asistīvo tehnoloģiju apmaiņas, tajā skaitā to reģistrēšanas, kārtība.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ir atbalstāmas šādas darbības: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asistīvo tehnoloģiju apmaiņas sistēmas izglītības iestādēm izveide, tai skaitā asistīvo tehnoloģiju apmaiņas sistēmas apraksta izstrāde un asistīvo tehnoloģiju izglītojamajiem izglītības programmu apguvei izpēte;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asistīvo tehnoloģiju apmaiņas sistēmas darbības nodrošināšanā iesaistīto speciālistu un izglītības iestāžu darbinieku izglītošana;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asistīvo tehnoloģiju iegāde, noma, abonēšana un uzturēšana;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asistīvo tehnoloģiju apmaiņas sistēmas izmēģinājumprojekta īstenošana izglītības iestādēs un izmēģinājumprojekta rezultātu izvērtēšana;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ir attiecināmas šādas finansējuma saņēmējam plānotas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19.1.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projekta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personāla izmaksas (izņemot virsstundas) šo noteikumu 18. punktā minēto atbalstāmo darbību īstenošanai, kas līdz atbildīgās iestādes izstrādātās un ar vadošo iestādi saskaņotās vienkāršoto izmaksu metodikas apstiprināšanai ir attiecināmas kā faktiskās izmaksas.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un šo noteikumu 16.4. punktā minēto sadarbības partneru šo noteikumu 18. punktā minēto atbalstāmo darbību īstenošanai projekta īstenošanas personāla izmaksas (izņemot virsstundas), kas līdz atbildīgās iestādes izstrādātās un ar vadošo iestādi saskaņotās vienkāršoto izmaksu metodikas apstiprināšanai ir attiecināmas kā faktiskās izmaksas.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asistīvo tehnoloģiju izglītojamajiem izglītības programmu apguvei izpētes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tehnoloģijas sistēmas izveides vai pilnveidošanas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iesaistīto speciālistu un izglītības iestāžu darbinieku mācību organizēšanas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asistīvo tehnoloģiju iegādes izmaksas un nomas izmaksas, t.sk. speciālo programmatūru un citu asistīvo līdzekļu izglītības programmu apguvei iegādes un abonēšanas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asistīvo tehnoloģiju apmaiņas sistēmas izmēģinājumprojekta rezultātu izvērtēšanas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finansējuma saņēmēja jaunradītu darba vietu aprīkojuma, tai skaitā biroja mēbeļu un tehnikas, datorprogrammu un licences iegādes vai nomas izmaksas, aprīkojuma uzturēšanas un remonta izmaksas,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 Ja projekta vadības vai īstenošanas personāls ir nodarbināts daļlaiku, tiek ņemts vērā darbinieka iesaistes periods projektā pret projekta kopējo īstenošanas ilgumu;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 darba braucienu izmaksas saskaņā ar normatīvajiem aktiem par kārtību, kādā atlīdzināmi ar komandējumiem un darbinieku darba braucieniem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finansējuma saņēmēja iekšzemes komandējumu izmaksas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saņēmēja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 un transportlīdzekļu nomas un transporta pakalpojuma pirkšanas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asistīvo tehnoloģiju uzglabāšanas, apkopes un remonta, papildu garantijas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saņēmēja un šo noteikumu 16.4. apakšpunkta minēta sadarbības partnera pakalpojuma (uzņēmuma) un piegādes līguma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saņēmēja ar projekta darbībām tieši saistīto komunikācijas un vizuālās identitātes pasākumu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19.2. apakšpunktā minētās netiešās attiecināmās izmaksas plāno kā vienu izmaksu pozīciju, piemērojot netiešo izmaksu vienoto likmi 15 procentu apmērā no šo noteikumu 20.1. apakšpunktā minētajām tiešajām attiecināmajām projekta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šo noteikumu 20.2.9. apakšpunkta ietvaros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Nr. 2021/1060) 64. panta 1. punkta “c” apakšpunktā ietvertajiem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projekta īstenošanas laikā stājas spēkā vienkāršoto izmaksu horizontālā metodika, kas ir obligāti piemērojama visiem Eiropas Savienības fondu 2021. –2027. gada plānošanas perioda projektiem vai atbildīgās iestādes izstrādāta un ar vadošo iestādi saskaņota vienkāršoto izmaksu metodika, kas piemērojama pasākumā, tā tiek piemērota pasākuma projekta īstenošanā.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ietvaros finansējuma saņēmējam izmaksas ir attiecināmas no Ministru kabineta noteikumu spēkā stāšanās. Tādu darbību izmaksas, kas pabeigtas pirms projekta iesnieguma iesniegšanas sadarbības iestādei, nav attiecināmas.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Īstenojot projektu, finansējuma saņēmējs un sadarbības partneris, cik tālu tās ir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lai funkcijas, kuras tas pilda projekta īstenošanā, tiktu nodalītas no iestādes pamatfunkciju izpildes;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visas preces un pakalpojumi tiks iepirkti atklātā, pārredzamā, nediskriminējošā un konkurenci nodrošinošā procedūrā, ievērojot publiskā iepirkuma procedūru regulējošos normatīvos aktus un, kur tas ir attiecināms, īsteno sociāli atbildīgus un inovatīvus publiskos iepirkumus, kā arī sekmē zaļā publiskā iepirkuma prasību ievērošanu saskaņā ar normatīvajiem aktiem par prasībām “zaļajam” publiskajam iepirkumam un to piemērošanas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interešu konflikta neesību saskaņā ar Eiropas Parlamenta un Padomes 2024. gada 23. septembra Regulas (ES, Euratom) 2024/2509 par finanšu noteikumiem, ko piemēro Savienības vispārējam budžetam (pārstrādāta redakcija), 61. panta prasībām, kā arī ar parakstu apliecina, ka nepastāv interešu konflikts;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atbildīgs par dubultā finansējuma novēršanu un demarkācijas nodrošināšanu ar citiem līdzīgiem vai saistītiem projektiem un nodrošina, lai pasākuma otrās projektu iesniegumu atlases kārtas ietvaros plānotais atbalsts nepārklātos ar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īstenošanas laikā nodrošina visu ar projekta īstenošanu saistīto dokumentu glabāšanu, tai skaitā projekta iesnieguma, jebkuru ar projektu saistīto sarakstes dokumentu, iepirkuma dokumentācijas, projekta līguma, veikto darbu, piegāžu un sniegto pakalpojumu apliecinošu dokumentu, veikto maksājumu apliecinošu dokumentu oriģinālu vai to atvasinājumu ar juridisko spēku. Pēc noslēguma maksājuma pieprasījuma pārbaudes Centrālā finanšu un līgumu aģentūra vēstulē par apstiprinātiem attiecināmajiem izdevumiem paziņo finansējuma saņēmējam par dokumentu glabāšanas termiņu, paredzot to ne mazāk kā piecus gadus pēc pēdējā maksājuma veikšanas dalībvalstij, un par fizisko personu  datu glabāšanas termiņu, kas ir pieci gadi pēc pēdējā maksājuma veikšanas dalībvalstij. Iestājoties minētajam datu glabāšanas termiņam, finansējuma saņēmējs dzēš tā rīcībā esošos datus;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paraksta interešu konflikta neesamības apliecinājumu;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vismaz trīs vispārīgās un trīs specifiskās darbības un uzkrāj, uzskaita un sadarbības iestādē iesniedz apkopotus datus par rādītāju "Specifiskus atbalsta pakalpojumus saņēmušo personu ar invaliditāti skaits (darbavietu pielāgošana, ergoterapeita, surdotulka, mentora, specializētā transporta pakalpojumi, atbalsta personas)" (VINPI_08), kas veicina horizontālā principa “Vienlīdzība, iekļaušana, nediskriminācija un pamattiesību ievērošana” ievērošanu;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Asistīvās tehnoloģijas izglītojamajam izglītības programmas apguvei tiek nodrošinātas, balstoties uz izvērtējama par izglītojamam nepieciešamajām asistīvajām tehnoloģijām konkrētās izglītības programmas apguvei.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īstenošanas uzraudzībai Izglītības un zinātnes ministrija kā nozares ministrija izveido projekta uzraudzības padomi, kurā uzaicina piedalīties citu nozaru ministriju, un sociālo partneru pārstāvjus. Projekta uzraudzības padomes sastāvā novērotāju statusā var iekļaut pārstāvjus arī no citām organizācijām un institūcijām, tai skaitā no sadarbības iestādes un atbildīgās iestādes. Projekta uzraudzības padomes darbību nosaka Izglītības un zinātnes ministrijas izstrādāts un apstiprināts nolikums. Pirmo projekta uzraudzības padomes sēdi sasauc ne vēlāk kā trīs mēnešus pēc vienošanās noslēgšanas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vismaz vienu reizi sešos mēnešos sniedz ziņojumu projekta uzraudzības padomei par projekta īstenošanas progresu, tai skaitā par īstenotajiem mērķa grupas informēšanas pasākumiem, šo noteikumu 4. punktā minēto nacionālo rādītāja sasniegto vērtību, īstenoto darbību saturu un atbilstību pasākuma mērķim, par veiktajiem un nepieciešamajiem uzlabojumiem pasākuma īstenošanā, sniedzot arī atgriezenisko saiti no sadarbības partneriem un citām iesaistītajām pusēm. Projekta uzraudzības padome var uzdot finansējuma saņēmējam veikt izmaiņas projekta īstenošanas gaitā, ja konstatēti riski projekta ieviešanas kvalitātē.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pasākuma ietvaros īsteno projektu, kas nav saistīts ar saimnieciskas darbības veikšanu. Pasākuma ietvaros veiktās izmaksas, kas atbilstoši Komercdarbības atbalsta kontroles likumam klasificējamas kā komercdarbības atbalsts, nav attiecināmas.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projektu, finansējuma saņēmējs un sadarbības partneris nodrošina sasniegto rezultātu ilgtspēju vismaz piecus gadus pēc noslēguma maksājuma veikšanas.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2027.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īstenošanas vieta ir Latvijas Republikas teritorija.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24-TA-3307</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24-TA-3307</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noteikumu_projekts_24-TA-3307.docx</dc:title>
</cp:coreProperties>
</file>

<file path=docProps/custom.xml><?xml version="1.0" encoding="utf-8"?>
<Properties xmlns="http://schemas.openxmlformats.org/officeDocument/2006/custom-properties" xmlns:vt="http://schemas.openxmlformats.org/officeDocument/2006/docPropsVTypes"/>
</file>