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jūlijā (prot. Nr. 35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(turpmāk – atbalsta mērķis) 4.2.2.5. pasākumu "Dalība starptautiskos izglītības pētījumos izglītības kvalitātes monitoringa sistēmas attīstībai un nodrošināšanai"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dalību starptautisko organizāciju īstenotajos starptautiskajos izglītības pētījumos un programmās izglītības politikas izstrādei un rīcībpolitikas ieviešanas un ietekmes izvērtēšanai.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institūcijas, kas atbildīgas par izglītības satura izstrādi, tā īstenošanas pārraudzību un starptautisku pētījumu īstenošanu izglītības un zinātnes politikas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minētās atbalstāmās darbības un līdz 2029.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1, tai skaitā līdz 2024. gada 31. decembrim viena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iestādes, kas ieviesušas uzlabojumus izglītības un mācību sistēmu kvalitātei, efektivitātei un atbilstībai darba tirgum,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starptautisko pētījumu cikli, kuros nodrošināta dalība, – 8, tai skaitā līdz 2024. gada 31. decembrim paziņoti, izplatīti un izanalizēti rezultāti vismaz par diviem pētījumu cikliem;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nodrošināta dalība trijās starptautiskajās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veikta astoņos pētījumu ciklos iegūto datu sekundāra izpēte, sniedzot datos balstītu atbildi uz konkrētu rīcībpolitikas jautājumu.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4.3.1.</w:t>
      </w:r>
      <w:r w:rsidR="00000000" w:rsidRPr="00000000" w:rsidDel="00000000">
        <w:rPr>
          <w:rtl w:val="0"/>
        </w:rPr>
        <w:t xml:space="preserve">, </w:t>
      </w:r>
      <w:r w:rsidR="00000000" w:rsidRPr="00000000" w:rsidDel="00000000">
        <w:rPr>
          <w:rtl w:val="0"/>
        </w:rPr>
        <w:t xml:space="preserve">4.3.2.</w:t>
      </w:r>
      <w:r w:rsidR="00000000" w:rsidRPr="00000000" w:rsidDel="00000000">
        <w:rPr>
          <w:rtl w:val="0"/>
        </w:rPr>
        <w:t xml:space="preserve"> un </w:t>
      </w:r>
      <w:r w:rsidR="00000000" w:rsidRPr="00000000" w:rsidDel="00000000">
        <w:rPr>
          <w:rtl w:val="0"/>
        </w:rPr>
        <w:t xml:space="preserve">4.3.3. </w:t>
      </w:r>
      <w:r w:rsidR="00000000" w:rsidRPr="00000000" w:rsidDel="00000000">
        <w:rPr>
          <w:rtl w:val="0"/>
        </w:rPr>
        <w:t xml:space="preserve">apakšpunktā</w:t>
      </w:r>
      <w:r w:rsidR="00000000" w:rsidRPr="00000000" w:rsidDel="00000000">
        <w:rPr>
          <w:rtl w:val="0"/>
        </w:rPr>
        <w:t xml:space="preserve"> minētos rādītājus sasniedz: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šādos astoņos starptautisko pētījumu ciklos: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Ekonomiskās sadarbības un attīstības organizācijas Starptautiskajā skolēnu prasmju novērtēšanas programmā OECD PISA 2025;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Ekonomiskās sadarbības un attīstības organizācijas Starptautiskajā mācību vides pētījumā OECD TALIS 2024;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Starptautiskajā matemātikas un dabaszinātņu izglītības attīstības tendenču pētījumā IEA TIMSS 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Starptautiskajā lasītprasmes novērtēšanas pētījumā IEA PIRLS 2026;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Starptautiskajos datorprasmju un informācijpratības pētījumos IEA ICILS 2023 un IEA ICILS 2028;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Ekonomiskās sadarbības un attīstības organizācijas Starptautiskajā pieaugušo kompetenču novērtēšanas programmas pētījumā OECD PIAAC 2022‒2023;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Starptautiskajā pilsoniskās izglītības pētījumā IEA ICCS 2027;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piedaloties šādās trijās starptautiskajās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Ekonomiskās sadarbības un attīstības organizācijas Izglītības sistēmu indikatoru programmā OECD INES;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Ekonomiskās sadarbības un attīstības organizācijas Izglītības pētniecības un inovāciju centra darbības programmā OECD CERI;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Komisijas Izglītības, jaunatnes, sporta un kultūras ģenerāldirektorāta Izglītības indikatoru un mērķrādītāju pastāvīgās grupas programmā EK SGIB;</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šādos astoņos pētījumu ciklos iegūto datu sekundāro izpēti: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OECD PISA 2022;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OECD TALIS 2024;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OECD PIAAC 2022‒2023;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IEA PIRLS 2021;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IEA TIMSS 2019 un IEA TIMSS 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IEA ICILS 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IEA ICCS 2022.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finansējums ir 6 835 606 </w:t>
      </w:r>
      <w:r w:rsidR="00000000" w:rsidRPr="00000000" w:rsidDel="00000000">
        <w:rPr>
          <w:i w:val="1"/>
          <w:rtl w:val="0"/>
        </w:rPr>
        <w:t xml:space="preserve">euro</w:t>
      </w:r>
      <w:r w:rsidR="00000000" w:rsidRPr="00000000" w:rsidDel="00000000">
        <w:rPr>
          <w:rtl w:val="0"/>
        </w:rPr>
        <w:t xml:space="preserve">, tai skaitā Eiropas Sociālā fonda Plus finansējums 5 810 265 </w:t>
      </w:r>
      <w:r w:rsidR="00000000" w:rsidRPr="00000000" w:rsidDel="00000000">
        <w:rPr>
          <w:i w:val="1"/>
          <w:rtl w:val="0"/>
        </w:rPr>
        <w:t xml:space="preserve">euro </w:t>
      </w:r>
      <w:r w:rsidR="00000000" w:rsidRPr="00000000" w:rsidDel="00000000">
        <w:rPr>
          <w:rtl w:val="0"/>
        </w:rPr>
        <w:t xml:space="preserve">un valsts budžeta finansējums 1 025 341 </w:t>
      </w:r>
      <w:r w:rsidR="00000000" w:rsidRPr="00000000" w:rsidDel="00000000">
        <w:rPr>
          <w:i w:val="1"/>
          <w:rtl w:val="0"/>
        </w:rPr>
        <w:t xml:space="preserve">euro</w:t>
      </w:r>
      <w:r w:rsidR="00000000" w:rsidRPr="00000000" w:rsidDel="00000000">
        <w:rPr>
          <w:rtl w:val="0"/>
        </w:rPr>
        <w:t xml:space="preserve">. Maksimālais attiecināmais Eiropas Sociālā fonda Plus finansējuma apmērs nepārsniedz 85 %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iesniegumā pasākuma īstenošanai pieejamo kopējo finansējumu plāno ne vairāk kā 5 776 088 </w:t>
      </w:r>
      <w:r w:rsidR="00000000" w:rsidRPr="00000000" w:rsidDel="00000000">
        <w:rPr>
          <w:i w:val="1"/>
          <w:rtl w:val="0"/>
        </w:rPr>
        <w:t xml:space="preserve">euro </w:t>
      </w:r>
      <w:r w:rsidR="00000000" w:rsidRPr="00000000" w:rsidDel="00000000">
        <w:rPr>
          <w:rtl w:val="0"/>
        </w:rPr>
        <w:t xml:space="preserve">apmērā, tai skaitā Eiropas Sociālā fonda Plus finansējumu 4 909 674 </w:t>
      </w:r>
      <w:r w:rsidR="00000000" w:rsidRPr="00000000" w:rsidDel="00000000">
        <w:rPr>
          <w:i w:val="1"/>
          <w:rtl w:val="0"/>
        </w:rPr>
        <w:t xml:space="preserve">euro </w:t>
      </w:r>
      <w:r w:rsidR="00000000" w:rsidRPr="00000000" w:rsidDel="00000000">
        <w:rPr>
          <w:rtl w:val="0"/>
        </w:rPr>
        <w:t xml:space="preserve">apmērā un valsts budžeta finansējumu 866 414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finansējumu līdz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Izglītības un zinātnes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projekta iesnieguma atlases nolikumā norādītajām prasībām un uzaicinājumā noteiktajā termiņā iesniedz to sadarbības iestādē, izmantojot Kohēzijas politikas fondu vadības informācijas sistēmas elektronisko vidi. Projekta iesniedzējs pēc tam, kad ar sadarbības iestādi ir noslēgta vienošanās par projekta īstenošanu, kļūst par finansējuma saņēmēju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nodrošina dalību: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minētajos starptautisko pētījumu ciklos, projekta īstenošanā par sadarbības partneriem iesaistot augstākās izglītības iestādes un zinātniskās institūcijas, kas īsteno izglītības programmas studiju virzienā "Izglītība un pedagoģija", bet šo noteikumu </w:t>
      </w:r>
      <w:r w:rsidR="00000000" w:rsidRPr="00000000" w:rsidDel="00000000">
        <w:rPr>
          <w:rtl w:val="0"/>
        </w:rPr>
        <w:t xml:space="preserve">5.1.6. </w:t>
      </w:r>
      <w:r w:rsidR="00000000" w:rsidRPr="00000000" w:rsidDel="00000000">
        <w:rPr>
          <w:rtl w:val="0"/>
        </w:rPr>
        <w:t xml:space="preserve">apakšpunktā</w:t>
      </w:r>
      <w:r w:rsidR="00000000" w:rsidRPr="00000000" w:rsidDel="00000000">
        <w:rPr>
          <w:rtl w:val="0"/>
        </w:rPr>
        <w:t xml:space="preserve"> minētajā gadījumā – arī studiju virzienā "Socioloģija, politoloģija un antropoloģija";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5.2.1. </w:t>
      </w:r>
      <w:r w:rsidR="00000000" w:rsidRPr="00000000" w:rsidDel="00000000">
        <w:rPr>
          <w:rtl w:val="0"/>
        </w:rPr>
        <w:t xml:space="preserve">apakšpunktā</w:t>
      </w:r>
      <w:r w:rsidR="00000000" w:rsidRPr="00000000" w:rsidDel="00000000">
        <w:rPr>
          <w:rtl w:val="0"/>
        </w:rPr>
        <w:t xml:space="preserve"> minētajā pētījumu programmā, projekta īstenošanā par sadarbības partneri iesaistot Centrālo statistikas pārvaldi;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 </w:t>
      </w:r>
      <w:r w:rsidR="00000000" w:rsidRPr="00000000" w:rsidDel="00000000">
        <w:rPr>
          <w:rtl w:val="0"/>
        </w:rPr>
        <w:t xml:space="preserve">apakšpunktā</w:t>
      </w:r>
      <w:r w:rsidR="00000000" w:rsidRPr="00000000" w:rsidDel="00000000">
        <w:rPr>
          <w:rtl w:val="0"/>
        </w:rPr>
        <w:t xml:space="preserve"> minēto pētījumu ciklos iegūto datu sekundārajās izpētēs, projekta īstenošanā par sadarbības partneriem iesaistot augstākās izglītības iestādes un zinātniskās institūcijas.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minētie sadarbības partneri iesaistās starptautisko pētījumu ciklu, programmu un pētījumu ciklos iegūto datu sekundārās izpētes īstenošanā, veicot darbības, kas noteiktas līgumā par sadarbību atbalstāmo darbību īstenošanā (turpmāk – sadarbības līgums). Sagatavojot sadarbības līgumu, finansējuma saņēmējs izvērtē starptautiskās organizācijas līgumā vai vadlīnijās noteiktās prasības, lai nodrošinātu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minēto darbību veikšanu.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 Ar projekta ieviešanu saistīto sadarbības partneru un sadarbības iestādes komunikāciju un dokumentācijas apriti nodrošina finansējuma saņēmējs. Vienlaikus finansējuma saņēmējs nodrošina interešu konflikta neesību, t. i., nodrošina, ka katrs sadarbības partneris ir parakstījis apliecinājumu par interešu konflikta neesību.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nosacījumiem sadarbības partneri nodrošina, ka katra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minētā starptautisko pētījumu cikla īstenošanai tiek piesaistīti augstskolās studējošie un doktora zinātniskā grāda pretendenti, kā arī vismaz viens pētnieks, kurš ir darba attiecībās ar citu augstākās izglītības iestādi vai zinātnisko institūciju atbilstošā studiju virzienā un kuram ir pieredze starptautisko pētījumu veikšanā attiecīgajā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saņēmējam ir pienākums projekta iesniegumā pamatot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sadarbības partneru izvēli, norādot konkrēto sadarbības partneru iesaistes mehānismu, nepieciešamību un to kompetences atbilstību plānotajām atbalstāmajām darbībām, kā arī ar katru sadarbības partneri noslēgt sadarbības līgumu. Sadarbības līgumā iekļauj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un citas informācijas iesniegšanas kārtība un termiņi;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un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attiecināmo tiešo un netiešo izmaksu segšanai.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starptautisko pētījumu ciklu un programmu īstenošana un pētījumu ciklos iegūto datu sekundārā izpēte, kas attiecināma gan uz finansējuma saņēmēju, gan uz sadarbības partneri,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dalības nodrošināšana starptautisko pētījumu ciklos un datu analīzes programmās;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starptautisko pētījumu ciklu un datu analīzes programmu īstenošana, kas ietver pētījuma datu nodrošināšanu un iesniegšanu attiecīgajai starptautiskajai institūcijai, kā arī datu sagatavošanu publiskošanai, tostarp starptautiskajās datubāzēs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starptautisko pētījumu ciklu un datu analīzes programmu pirmo rezultātu ziņojuma sagatavošana publiskošanai, tā publiskošana un prezentēšana, kā arī nacionālo datu un informācijas validācija starptautisko institūciju sagatavotajos ziņojumos;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starptautisko pētījumu ciklos iegūto datu sekundārās izpētes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 un tā īstenošanas nodrošināšana, kas attiecināma uz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projekta īstenošanu un publicitātes pasākumi, kas attiecināmi uz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pētījumu rezultātu ietekmes veidošanas pasākumi, tai skaitā informēšana par pētījumu rezultātiem, iesaistīšanās stratēģisku dokumentu, vadlīniju un citu dokumentu izstrādē, kā arī pasākumi mērķa grupu iesaistīšanai pētījumu rezultātu izmantošanā, kas attiecināmi uz finansējuma saņēmēju.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veicamo darbību realizācijai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19.1.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atlīdzības izmaksas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darba vietas aprīkojuma (biroja mēbeles un tehnika, datorprogrammas un licences) iegādei vai nomai finansējuma saņēmēja projekta vadības un īstenošanas personālam, kā arī jaunu darba vietu radīšanai vai esošo darba vietu atjaunošanai, ja esošo darba vietu aprīkojums ir nolietojies un tiek norakstīts, plāno ne vairāk kā 3000 </w:t>
      </w:r>
      <w:r w:rsidR="00000000" w:rsidRPr="00000000" w:rsidDel="00000000">
        <w:rPr>
          <w:i w:val="1"/>
          <w:rtl w:val="0"/>
        </w:rPr>
        <w:t xml:space="preserve">euro </w:t>
      </w:r>
      <w:r w:rsidR="00000000" w:rsidRPr="00000000" w:rsidDel="00000000">
        <w:rPr>
          <w:rtl w:val="0"/>
        </w:rPr>
        <w:t xml:space="preserve">apmērā vienai darba vietai visā plānotā projekta īstenošanas laikā. Ja personāls ir nodarbināts normālu darba laiku, darba vietas aprīkojuma iegādes vai nomas izmaksas ir attiecināmas 100 % apmērā. Ja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nodrošināšanai finansējuma saņēmēja projekta vadības un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komandējumu izmaksas atbilstoši normatīvajiem aktiem, kas nosaka kārtību, kādā atlīdzināmi ar komandējumiem saistītie izdevumi, finansējuma saņēmēja projekta vadītājam un projekta īstenošanas personālam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ja tās ir skaidri saistāmas ar projekta rezultāta sasniegšanu, kā arī projekta atbildīgajai amatpersonai un Latvijas nominētajam delegātam pētījumu un programmu valdēs, ja tās ir skaidri saistāmas ar projekta mērķi;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pakalpojumu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starptautisko pētījumu un programmu dalības maksa attiecināma uz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tulkošanas un publicēšanas izmaksas finansējuma saņēmējam, ieskaitot informatīvu izdales materiālu izdošanas izmaksas, kā arī semināru un konferenču organizēšanas un īstenošanas izmaksas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un preču piegādes izmaksas finansējuma saņēmējam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informācijas un publicitātes pasākumu izmaksas finansējuma saņēmējam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pantam 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komunikācijas stratēģijas un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satura komunikācijas pasākumu izstrāde un nodrošināšana finansējuma saņēmējam.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un </w:t>
      </w:r>
      <w:r w:rsidR="00000000" w:rsidRPr="00000000" w:rsidDel="00000000">
        <w:rPr>
          <w:rtl w:val="0"/>
        </w:rPr>
        <w:t xml:space="preserve">18.1.4. </w:t>
      </w:r>
      <w:r w:rsidR="00000000" w:rsidRPr="00000000" w:rsidDel="00000000">
        <w:rPr>
          <w:rtl w:val="0"/>
        </w:rPr>
        <w:t xml:space="preserve">apakšpunktā</w:t>
      </w:r>
      <w:r w:rsidR="00000000" w:rsidRPr="00000000" w:rsidDel="00000000">
        <w:rPr>
          <w:rtl w:val="0"/>
        </w:rPr>
        <w:t xml:space="preserve"> minēto atbalstāmo darbību izmaksas tiek plānotas un attiecinātas uz sadarbības partneri atbilstoši atbildīgās iestādes izstrādātajai vienkāršoto izmaksu aprēķina metodikai, kas saskaņota ar vadošo iestādi. Sadarbības partnerim ir attiecināmas šādas tiešo attiecināmo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īstenošanas personāla atlīdzības izmaksas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un </w:t>
      </w:r>
      <w:r w:rsidR="00000000" w:rsidRPr="00000000" w:rsidDel="00000000">
        <w:rPr>
          <w:rtl w:val="0"/>
        </w:rPr>
        <w:t xml:space="preserve">18.1.4. </w:t>
      </w:r>
      <w:r w:rsidR="00000000" w:rsidRPr="00000000" w:rsidDel="00000000">
        <w:rPr>
          <w:rtl w:val="0"/>
        </w:rPr>
        <w:t xml:space="preserve">apakšpunktā</w:t>
      </w:r>
      <w:r w:rsidR="00000000" w:rsidRPr="00000000" w:rsidDel="00000000">
        <w:rPr>
          <w:rtl w:val="0"/>
        </w:rPr>
        <w:t xml:space="preserve"> minēto atbalstāmo darbību īstenošanai, pamatojoties uz darba līgumu vai uzņēmuma līgumu. Darba līguma gadījumā tas ir atalgojums un darba devēja valsts sociālās apdrošināšanas obligātās iemaksas, pabalsti un kompensācijas atbilstoši sadarbības partnera personāla politikai (izņemot virsstundas). Uzņēmuma līguma gadījumā tā ir samaksa fiziskajai personai par pakalpojumu un ar uzņēmuma līgumu saistītie nodokļi;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īstenošanas personālam jaunu darba vietu radīšanai vai esošo darba vietu atjaunošanai, ja esošo darba vietu aprīkojums ir nolietojies un tiek norakstīts, plāno ne vairāk kā 3000 </w:t>
      </w:r>
      <w:r w:rsidR="00000000" w:rsidRPr="00000000" w:rsidDel="00000000">
        <w:rPr>
          <w:i w:val="1"/>
          <w:rtl w:val="0"/>
        </w:rPr>
        <w:t xml:space="preserve">euro </w:t>
      </w:r>
      <w:r w:rsidR="00000000" w:rsidRPr="00000000" w:rsidDel="00000000">
        <w:rPr>
          <w:rtl w:val="0"/>
        </w:rPr>
        <w:t xml:space="preserve">apmērā vienai darba vietai visā plānotā projekta īstenošanas laikā. Ja personāls ir nodarbināts normālu darba laiku, darba vietas aprīkojuma iegādes vai nomas izmaksas ir attiecināmas 100 % apmērā. Ja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tulkošanas un publicēšanas izmaksas, ieskaitot informatīvu izdales materiālu izdošanas izmaksas, kā arī semināru un konferenču organizēšanas un īstenošanas izmaksas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un preču piegādes izmaksas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īstenošanai nepieciešamā informācijas tehnoloģiju aprīkojuma (datortehnika, programmatūra, licences, printeris, datu glabāšanas aprīkojums, tiešsaistes nodrošinājums) iegādes vai īres izmaksas sadarbības partnerim, izņemot īstenošanas personālu,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atbalstāmās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komandējumu un dienesta braucienu izmaksas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nodrošināšanai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ārvalstu komandējumu izmaksas atbilstoši normatīvajiem aktiem, kas nosaka kārtību, kādā atlīdzināmi ar komandējumiem saistītie izdevumi, īstenošanas personālam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ja tās ir skaidri saistāmas ar projekta rezultāta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transporta pakalpojumu izmaksas (maksa par degvielu, transportlīdzekļa noma, transporta pakalpojumu pirkšana, sabiedriskā transporta izmantošana, izņemot darbiniekam piederoša personiskā transportlīdzekļa izmantošanas kompensāciju par nobraukto kilometru) īstenošanas personālam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netiešās attiecināmās izmaksas attiecināmas gan uz finansējuma saņēmēju, gan sadarbības partneri. Finansējuma saņēmējs un sadarbības partneris var plānot netiešās izmaksas kā vienu izmaksu pozīciju, piemērojot netiešo izmaksu vienoto likmi 15 % apmērā no projekta tiešajām attiecināmajām personāla izmaksām, ko aprēķina tikai tām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neparedzētās izmaksas, kas radušās par papildu darbu veikšanu vai pakalpojumu sniegšanu vai kas dalības maksu sadārdzinājuma un neparedzamu apstākļu dēļ ir kļuvušas nepieciešamas projekta īstenošanai, finansējuma saņēmējs var plānot kā vienu izmaksu pozīciju, kas nepārsniedz 5 % no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minētajām kopējām projekta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nodokļa izmaksas gan finansējuma saņēmējam, gan sadarbības partnerim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Uzsākot projekta īstenošanu, šajā nodaļā minētajām izmaksām piemēro šo noteikumu </w:t>
      </w:r>
      <w:r w:rsidR="00000000" w:rsidRPr="00000000" w:rsidDel="00000000">
        <w:rPr>
          <w:rtl w:val="0"/>
        </w:rPr>
        <w:t xml:space="preserve">20.3.</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minētos vienkāršoto izmaksu veidus. Atbildīgā iestāde līdz projekta iesnieguma atlasei izstrādā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vienkāršoto izmaksu metodiku. Vienkāršotās izmaksas piemēro atbilstoši to noteiktajam spēkā stāšanās laikam un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īstenošanas laikā stājas spēkā vienkāršoto izmaksu horizontālā metodika, kas ir obligāti piemērojama visiem Eiropas Savienības fondu 2021.–2027. gada plānošanas perioda projektiem, tā tiek piemērota pasākumā.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paredzētās izmaksas ir attiecināmas no 2022. gada 1. janvāra: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 Latvijas Universitātes – izmaksas pētījumā ICILS 2023 tiek attiecinātas, sākot ar 2022. gada 1. janvāri, saskaņā ar Ministru kabineta 2022. gada 17. maija sēdes protokollēmumu (prot. Nr. 27 33.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izmaksas tiek attiecinātas no dienas, kad noslēgts sadarbības līgums vai vienošanās par konkrēta pētījuma īstenošanu, ja attiecīgajā dokumentā nav noteikts citādi;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partnera izmaksas tiek attiecinātas no dienas, kad noslēgts nodomu protokols par sadarbību konkrēta pētījuma īstenošanā un priekšfinansēšanu, ja nodomu protokolā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uzraudzībai Izglītības un zinātnes ministrija izveido projekta uzraudzības padomi, kurā pieaicina vismaz vienu pārstāvi no atbildīgās iestādes, Valsts izglītības satura centra, Izglītības kvalitātes valsts dienesta un, ja nepieciešams, citām organizācijām un institūcijām. Projekta uzraudzības padomes sastāvā novērotāja statusā var tikt iekļauti pārstāvji arī no citām organizācijām un institūcijām, tai skaitā no vadošās iestādes un sadarbības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ne retāk kā reizi 12 mēnešos iesniedz projekta uzraudzības padomei ziņojumu par projekta īstenošanas progresu, tai skaitā par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minētajiem uzraudzības rādītājiem, sniedzot atgriezenisko saiti no sadarbības partneriem un citām iesaistītajām pusēm, un prezentē projekta īstenošanas rezultātus projekta uzraudzības padomē.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procesā ekspertu un konsultantu statusā var iesaistīt iestādes vai pētnieku grupas (tai skaitā no ārvalstīm), kuru darbība ir saistīta ar dalību starptautiskajos pētījumos un pētījumu vai datu uzkrāšanas procesa ietvaros iegūtu rezultātu analizēšanu un izmantošanu izglītības politikas veidošanā. Ekspertus un konsultantus iesaista, piemērojot Publisko iepirkumu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nodrošina informācijas un publicitātes pasākumus saskaņā ar regulas Nr. 2021/1060 47. pantu un 50. pantu un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 izņemot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Preču un pakalpojumu iepirkumi projekta īstenošanas vajadzībām jāveic saskaņā ar normatīvajiem aktiem publisko iepirkumu jomā (ja attiecināms, piemērojot sociāli atbildīgu un inovatīvu publisko iepirkumu),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un sadarbības partneri, izmantojot projekta ietvaros piešķirtos publiskos līdzekļus, īsteno projektus, kas nav saistīti ar saimnieciskās darbības veikšanu, atbilstoši Eiropas Komisijas paziņojumā "Pētniecībai, izstrādei un inovācijai piešķiramā valsts atbalsta nostādnes" (Eiropas Savienības Oficiālais Vēstnesis, 2022. gada 28. oktobris, Nr. C414) noteiktajām nesaimnieciska rakstura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projekta īstenošanas finanšu plūsmas un darbību veidu skaidru nodalīšanu no citu finansējuma saņēmēja darbību finanšu plūsmām un darbību veidiem.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22-TA-2337</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22-TA-2337</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noteikumu_projekts_22-TA-2337.docx</dc:title>
</cp:coreProperties>
</file>

<file path=docProps/custom.xml><?xml version="1.0" encoding="utf-8"?>
<Properties xmlns="http://schemas.openxmlformats.org/officeDocument/2006/custom-properties" xmlns:vt="http://schemas.openxmlformats.org/officeDocument/2006/docPropsVTypes"/>
</file>