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8.1.4. specifiskā atbalsta mērķa "Uzlabot pirmā līmeņa profesionālās augstākās izglītības STEM, tajā skaitā medicīnas un radošās industrijas, studiju mācību vidi koledžās"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8.1.4. specifisko atbalsta mērķi "Uzlabot pirmā līmeņa profesionālās augstākās izglītības STEM, tajā skaitā medicīnas un radošās industrijas, studiju mācību vidi koledžās"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uzlabot pirmā līmeņa profesionālās augstākās izglītības STEM (</w:t>
      </w:r>
      <w:r w:rsidR="00000000" w:rsidRPr="00000000" w:rsidDel="00000000">
        <w:rPr>
          <w:i w:val="1"/>
          <w:rtl w:val="0"/>
        </w:rPr>
        <w:t xml:space="preserve">Science, Technology, Engineering and Mathematics</w:t>
      </w:r>
      <w:r w:rsidR="00000000" w:rsidRPr="00000000" w:rsidDel="00000000">
        <w:rPr>
          <w:rtl w:val="0"/>
        </w:rPr>
        <w:t xml:space="preserve"> – zinātne, tehnoloģijas, inženierzinātnes, matemātika), tajā skaitā medicīnas un radošās industrijas (turpmāk – STEM), studiju mācību vidi koledžās.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šo noteikumu </w:t>
      </w:r>
      <w:r w:rsidR="00000000" w:rsidRPr="00000000" w:rsidDel="00000000">
        <w:rPr>
          <w:rtl w:val="0"/>
        </w:rPr>
        <w:t xml:space="preserve">12.</w:t>
      </w:r>
      <w:r w:rsidR="00000000" w:rsidRPr="00000000" w:rsidDel="00000000">
        <w:rPr>
          <w:rtl w:val="0"/>
        </w:rPr>
        <w:t xml:space="preserve"> punktā minētās koledžas.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18.</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pakalpojumu sniegšanas veiktspēja atbalstītajā koledžas izglītības infrastruktūrā – 3100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koledžu īpatsvars, kurās ir pilnībā modernizēta pirmā līmeņa profesionālās augstākās izglītības STEM studiju programmu mācību vide, no kopējā koledžu skaita, kas īsteno minētās prioritārās programmas, – 61 procents;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3 546 300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28.01.2020. noteikumiem Nr. 55)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STEM izglītības programma šo noteikumu izpratnē ir pirmā līmeņa profesionālās augstākās izglītības studiju programma, profesionālās vidējās izglītības vai arodizglītības programma, kura saskaņā ar normatīvajiem aktiem par Latvijas izglītības klasifikāciju ietilpst: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tematiskajā grupā: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matemātika un informācijas 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inženierzinātnes, ražošana un būvniecība;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tematiskajā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 izņemot kosmetoloģiju;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programmu kopā – restaurācija.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plānotais kopējais attiecināmais finansējums ir 14 109 857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11 993 378 </w:t>
      </w:r>
      <w:r w:rsidR="00000000" w:rsidRPr="00000000" w:rsidDel="00000000">
        <w:rPr>
          <w:i w:val="1"/>
          <w:rtl w:val="0"/>
        </w:rPr>
        <w:t xml:space="preserve">euro</w:t>
      </w:r>
      <w:r w:rsidR="00000000" w:rsidRPr="00000000" w:rsidDel="00000000">
        <w:rPr>
          <w:rtl w:val="0"/>
        </w:rPr>
        <w:t xml:space="preserve"> un valsts budžeta līdzfinansējums – 2 116 479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28.01.2020. noteikumiem Nr. 55)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ir 85 procenti no projekta kopējā attiecināmā finansējuma, valsts budžeta finansējuma apmērs ir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Pieejamais kopējais attiecināmais finansējums līdz 2018. gada 31. decembrim, lai slēgtu vienošanās par projektu īstenošanu, ir 13 319 969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11 321 973 </w:t>
      </w:r>
      <w:r w:rsidR="00000000" w:rsidRPr="00000000" w:rsidDel="00000000">
        <w:rPr>
          <w:i w:val="1"/>
          <w:rtl w:val="0"/>
        </w:rPr>
        <w:t xml:space="preserve">euro</w:t>
      </w:r>
      <w:r w:rsidR="00000000" w:rsidRPr="00000000" w:rsidDel="00000000">
        <w:rPr>
          <w:rtl w:val="0"/>
        </w:rPr>
        <w:t xml:space="preserve"> un valsts budžeta līdzfinansējums – 1 997 996 </w:t>
      </w:r>
      <w:r w:rsidR="00000000" w:rsidRPr="00000000" w:rsidDel="00000000">
        <w:rPr>
          <w:i w:val="1"/>
          <w:rtl w:val="0"/>
        </w:rPr>
        <w:t xml:space="preserve">euro</w:t>
      </w:r>
      <w:r w:rsidR="00000000" w:rsidRPr="00000000" w:rsidDel="00000000">
        <w:rPr>
          <w:rtl w:val="0"/>
        </w:rPr>
        <w:t xml:space="preserve">. No 2019. gada 1. janvāra atbildīgā iestāde pēc Eiropas Komisijas lēmuma par snieguma ietvara izpildi var ierosināt palielināt pieejamo attiecināmo finansējumu līdz šo noteikumu </w:t>
      </w:r>
      <w:r w:rsidR="00000000" w:rsidRPr="00000000" w:rsidDel="00000000">
        <w:rPr>
          <w:rtl w:val="0"/>
        </w:rPr>
        <w:t xml:space="preserve">8.</w:t>
      </w:r>
      <w:r w:rsidR="00000000" w:rsidRPr="00000000" w:rsidDel="00000000">
        <w:rPr>
          <w:rtl w:val="0"/>
        </w:rPr>
        <w:t xml:space="preserve"> punktā minētajam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Viena projekta maksimālais publiskā finansējuma apmērs ir 7 000 000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specifiskā atbalsta ietvaros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Daugavpils medicīnas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Jēkabpils Agrobiznesa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Liepājas Jūrniecības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Lauksaimniecības universitātes Malnavas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Tehniskās universitātes Olaines Tehnoloģiju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kompetences centrs "Rīgas Tehniskā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Universitātes Rīgas 1. medicīnas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Celtniecības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Rīgas Stradiņa universitātes Sarkanā Krusta medicīnas koledža.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16.07.2019. noteikumiem Nr. 343)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sagatavo un saskaņā ar projektu iesniegumu atlases nolikuma prasībām iesniedz to sadarbības iestādē. Projekta iesniedzējs var iesniegt sadarbības iestādē projekta iesniegumu, ja ir saņēmis saskaņojumu no Izglītības un zinātnes ministrijas par šo noteikumu </w:t>
      </w:r>
      <w:r w:rsidR="00000000" w:rsidRPr="00000000" w:rsidDel="00000000">
        <w:rPr>
          <w:rtl w:val="0"/>
        </w:rPr>
        <w:t xml:space="preserve">36.</w:t>
      </w:r>
      <w:r w:rsidR="00000000" w:rsidRPr="00000000" w:rsidDel="00000000">
        <w:rPr>
          <w:rtl w:val="0"/>
        </w:rPr>
        <w:t xml:space="preserve"> punktā minēto koledžas vidēja termiņa vai ilgtermiņa attīstības stratēģiju.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specifiskā atbalsta ietvaros iesniedz vienu projekta iesniegumu atbilstoši šo noteikumu </w:t>
      </w:r>
      <w:r w:rsidR="00000000" w:rsidRPr="00000000" w:rsidDel="00000000">
        <w:rPr>
          <w:rtl w:val="0"/>
        </w:rPr>
        <w:t xml:space="preserve">16.</w:t>
      </w:r>
      <w:r w:rsidR="00000000" w:rsidRPr="00000000" w:rsidDel="00000000">
        <w:rPr>
          <w:rtl w:val="0"/>
        </w:rPr>
        <w:t xml:space="preserve"> punktā minētajam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katram projekta iesniedzējam plānotais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Daugavpils medicīnas koledžai – 295 302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Jēkabpils Agrobiznesa koledžai – 308 098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Liepājas Jūrniecības koledžai – 357 952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Lauksaimniecības universitātes Malnavas koledžai – 511 407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Tehniskās universitātes Olaines Tehnoloģiju koledžai – 4 489 122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kompetences centram "Rīgas Tehniskā koledža" – 6 998 628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Universitātes Rīgas 1. medicīnas koledžai – 435 118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Celtniecības koledžai – 351 607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Rīgas Stradiņa universitātes Sarkanā Krusta medicīnas koledžai – 362 623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16.07.2019. noteikumiem Nr. 343; MK 28.01.2020. noteikumiem Nr. 55)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Specifiskā atbalsta ietvaros katram projekta iesniedzējam pieejamais kopējais attiecināmais finansējums līdz 2018. gada 31. decembrim, lai slēgtu vienošanos par projekta īstenošanu,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Daugavpils medicīnas koledžai – 295 307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Jēkabpils Agrobiznesa koledžai – 308 842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Liepājas Jūrniecības koledžai – 336 119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Lauksaimniecības universitātes Malnavas koledžai – 511 411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Tehniskās universitātes Olaines Tehnoloģiju koledžai – 4 215 968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kompetences centram "Rīgas Tehniskā koledža" – 6 573 033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Universitātes Rīgas 1. medicīnas koledžai – 408 578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Celtniecības koledžai – 330 206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Rīgas Stradiņa universitātes Sarkanā Krusta medicīnas koledžai – 340 505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16.07.2019. noteikumiem Nr. 343)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pēc 2019. gada 1. janvāra atbildīgā iestāde ierosina palielināt pieejamo attiecināmo finansējumu līdz šo noteikumu </w:t>
      </w:r>
      <w:r w:rsidR="00000000" w:rsidRPr="00000000" w:rsidDel="00000000">
        <w:rPr>
          <w:rtl w:val="0"/>
        </w:rPr>
        <w:t xml:space="preserve">8.</w:t>
      </w:r>
      <w:r w:rsidR="00000000" w:rsidRPr="00000000" w:rsidDel="00000000">
        <w:rPr>
          <w:rtl w:val="0"/>
        </w:rPr>
        <w:t xml:space="preserve"> punktā minētajam finansējuma apmēram, projekta iesniedzējam palielina pieejamo kopējo attiecināmo finansējumu līdz šo noteikumu </w:t>
      </w:r>
      <w:r w:rsidR="00000000" w:rsidRPr="00000000" w:rsidDel="00000000">
        <w:rPr>
          <w:rtl w:val="0"/>
        </w:rPr>
        <w:t xml:space="preserve">15.</w:t>
      </w:r>
      <w:r w:rsidR="00000000" w:rsidRPr="00000000" w:rsidDel="00000000">
        <w:rPr>
          <w:rtl w:val="0"/>
        </w:rPr>
        <w:t xml:space="preserve"> punktā minētajam apmēram, atbilstoši grozot vienošanos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koledžu infrastruktūras, tai skaitā koledžas ēku un telpu (izņemot dienesta viesnīcas), laboratoriju un koplietošanas infrastruktūras, attīstība, lai modernizētu STEM izglītības 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 tai skaitā būvju projektēšana, būvekspertīze, autoruzraudzība, būvuzraudzība un būvdarbi (būves atjaunošana, pārbūve vai restaurācija);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pielāgošana aprīkojuma un aparatūras uzstādīšanai un darbībai;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objektu pielāgošana personām ar funkcionāliem traucējumiem;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būvobjekta teritorijas labiekārtošana, kas atbalstāma tādā apjomā, lai nodrošinātu modernizētās infrastruktūras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aparatūras, datortehnikas, tehnoloģiju, materiālu, inventāra un instrumentu iegāde, kas nepieciešama STEM izglītības programmu īstenošanai (iekārtu, aparatūras, datortehnikas un tehnoloģiju iegādi saskaņo ar nozares profesionālo organizāciju vai atbilstošu nozares ekspertu padomi);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 izglītības procesā, tai skaitā e-studiju attīstība, bezvadu interneta pieslēguma izveide izglītības procesa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koledžas bibliotēkas fondu papildināšana;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Specifiskā atbalsta projektu īstenošanā var izmantot vides prasību integrāciju preču,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Specifiskā atbalsta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18.5.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izmaksas šo noteikumu </w:t>
      </w:r>
      <w:r w:rsidR="00000000" w:rsidRPr="00000000" w:rsidDel="00000000">
        <w:rPr>
          <w:rtl w:val="0"/>
        </w:rPr>
        <w:t xml:space="preserve">18.1.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būvobjekta teritorijas labiekārtošanas izmaksas, lai izpildītu normatīvajos aktos noteiktās minimālās prasības infrastruktūras nodošanai ekspluatācijā;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būvniecību saistītas izmaksas šo noteikumu </w:t>
      </w:r>
      <w:r w:rsidR="00000000" w:rsidRPr="00000000" w:rsidDel="00000000">
        <w:rPr>
          <w:rtl w:val="0"/>
        </w:rPr>
        <w:t xml:space="preserve">18.1.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ieskaitot būvprojektu minimālā stadijā, izstrādes vai aktualizēšanas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neatkarīgas būvekspertīžu veikšanas un tehniskās apsekošanas izmaksas, tai skaitā neatkarīgas būvprojekta ekspertīzes veikšanas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apdrošināšanas izmaksas, kuru nepieciešamību nosaka būvniecību regulējošie normatīvie akti (attiecināmas uz projekta īstenošanas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pamatlīdzekļu – iekārtu, aparatūras, mēbeļu, transportlīdzekļu kā uzskates un tehnisko līdzekļu, kas nepieciešami STEM izglītības programmu īstenošanai, datortehnikas, informācijas un komunikācijas tehnoloģiju risinājumu iegādes vai izveides izmaksas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w:t>
      </w:r>
      <w:r w:rsidR="00000000" w:rsidRPr="00000000" w:rsidDel="00000000">
        <w:rPr>
          <w:rtl w:val="0"/>
        </w:rPr>
        <w:t xml:space="preserve"> apakšpunktā minēto pamatlīdzekļu piegādes, uzstādīšanas, testēšanas un apkalpojošā personāla instruktāžas izmaksas, kas nav uzturēšanas izmaksas un kas ir saistītas ar ilgtermiņa ieguldījuma sagatavošanu izmantošanai paredzētajiem mērķiem līdz to nodošanai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bibliotēku krājumu izmaksas – mācību grāmatu un periodisko izdevumu, tai skaitā digitālo, iegāde projekta īstenošanas laikā šo noteikumu </w:t>
      </w:r>
      <w:r w:rsidR="00000000" w:rsidRPr="00000000" w:rsidDel="00000000">
        <w:rPr>
          <w:rtl w:val="0"/>
        </w:rPr>
        <w:t xml:space="preserve">18.4.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materiālu, inventāra, mēbeļu, instrumentu, laboratorijas preču, ķimikāliju iegādes izmaksas šo noteikumu </w:t>
      </w:r>
      <w:r w:rsidR="00000000" w:rsidRPr="00000000" w:rsidDel="00000000">
        <w:rPr>
          <w:rtl w:val="0"/>
        </w:rPr>
        <w:t xml:space="preserve">18.2.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programmatūru licences iegādes vai nomas izmaksas, tai skaitā licenču atjauninājumu izmaksas licenču darbības periodā, kas nepārsniedz piecus gadus, šo noteikumu </w:t>
      </w:r>
      <w:r w:rsidR="00000000" w:rsidRPr="00000000" w:rsidDel="00000000">
        <w:rPr>
          <w:rtl w:val="0"/>
        </w:rPr>
        <w:t xml:space="preserve">18.3.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18.6.</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izmaksas, kas ir pamatotas un saistītas ar šo noteikumu </w:t>
      </w:r>
      <w:r w:rsidR="00000000" w:rsidRPr="00000000" w:rsidDel="00000000">
        <w:rPr>
          <w:rtl w:val="0"/>
        </w:rPr>
        <w:t xml:space="preserve">18.</w:t>
      </w:r>
      <w:r w:rsidR="00000000" w:rsidRPr="00000000" w:rsidDel="00000000">
        <w:rPr>
          <w:rtl w:val="0"/>
        </w:rPr>
        <w:t xml:space="preserve"> punktā minēto atbalstāmo darbību īstenošanu un projekta mērķa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vai esošo darba vietu atjaunošanai nepieciešamā aprīkojuma (biroja mēbeles un tehnika, datorprogrammas un licences) iegādes izmaksas šo noteikumu </w:t>
      </w:r>
      <w:r w:rsidR="00000000" w:rsidRPr="00000000" w:rsidDel="00000000">
        <w:rPr>
          <w:rtl w:val="0"/>
        </w:rPr>
        <w:t xml:space="preserve">18.5.</w:t>
      </w:r>
      <w:r w:rsidR="00000000" w:rsidRPr="00000000" w:rsidDel="00000000">
        <w:rPr>
          <w:rtl w:val="0"/>
        </w:rPr>
        <w:t xml:space="preserve"> apakšpunktā minētās atbalstāmās darbības īstenošanai. Darba vietas aprīkojuma iegādes izmaksas, tai skaitā aprīkojuma uzturēšanas un remonta izmaksas, attiecināmas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personāls ir nodarbināts projektā vismaz 30 procentu apmērā no normālā darba laika uz darba līguma pamata. Ja projekta vadības personāls ir nodarbināts nepilnu darba laiku vai daļlaiku, darba vietas aprīkojuma iegādes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21.1.</w:t>
      </w:r>
      <w:r w:rsidR="00000000" w:rsidRPr="00000000" w:rsidDel="00000000">
        <w:rPr>
          <w:rtl w:val="0"/>
        </w:rPr>
        <w:t xml:space="preserve"> apakšpunktā minētās projekta vadības personāla atlīdzības izmaksas,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ka projekta vadības personāls uz darba līguma pamata ir nodarbināts projektā normālo darba laiku vai nepilnu darba laiku ne mazāk kā 30 procentu apmērā no normālā darba laika, attiecīgi veicot projekta vadības personāla darba laika uzskaiti par veiktajām funkcijām un nostrādāto laiku.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projekta vadības personāla izmaksu apmēru ievēro šādus ierobežojumus: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ar tiešajām attiecināmajām izmaksām 5 000 000 </w:t>
      </w:r>
      <w:r w:rsidR="00000000" w:rsidRPr="00000000" w:rsidDel="00000000">
        <w:rPr>
          <w:i w:val="1"/>
          <w:rtl w:val="0"/>
        </w:rPr>
        <w:t xml:space="preserve">euro</w:t>
      </w:r>
      <w:r w:rsidR="00000000" w:rsidRPr="00000000" w:rsidDel="00000000">
        <w:rPr>
          <w:rtl w:val="0"/>
        </w:rPr>
        <w:t xml:space="preserve"> un vairāk – līdz 56 580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ierobežojumu aprēķina ar minimālo izmaksu bāzi 24 426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neieskaitot projekta vadības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nepilnu kalendāra gadu fiksēto summu aprēķina proporcionāli projekta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21.3.1.</w:t>
      </w:r>
      <w:r w:rsidR="00000000" w:rsidRPr="00000000" w:rsidDel="00000000">
        <w:rPr>
          <w:rtl w:val="0"/>
        </w:rPr>
        <w:t xml:space="preserve"> un </w:t>
      </w:r>
      <w:r w:rsidR="00000000" w:rsidRPr="00000000" w:rsidDel="00000000">
        <w:rPr>
          <w:rtl w:val="0"/>
        </w:rPr>
        <w:t xml:space="preserve">21.3.3.</w:t>
      </w:r>
      <w:r w:rsidR="00000000" w:rsidRPr="00000000" w:rsidDel="00000000">
        <w:rPr>
          <w:rtl w:val="0"/>
        </w:rPr>
        <w:t xml:space="preserve"> apakšpunktā minētās izmaksas, finansējuma saņēmējs nodrošina, ka tās kopsummā nepārsniedz 10 procentus no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apakšpunktā minētajām projekta vadības personāla atlīdzības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minētās neparedzētās izmaksas (izdevumi papildu darbu vai pakalpojumu veikšanai, kas neparedzamu apstākļu dēļ ir kļuvuši nepieciešami, lai izpildītu vienošanos par projekta īstenošanu) projektā var plānot kā vienu izmaksu pozīciju, kas nepārsniedz divus procentus no kopējām projekta attiecināmajām tiešajām izmaksām. Neparedzēto izmaksu izlietošanu pirms izdevumu veikšanas finansējuma saņēmējs saskaņo ar sadarbības iestādi atbilstoši kārtībai, ko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Specifiskā atbalsta ietvaros izmaksas ir attiecināmas, ja tās atbilst šajos noteikumos minētajām izmaksu pozīcijām un ir radušās no dienas, kad noslēgta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vēlāk kā līdz 2022.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Specifiskā atbalsta mērķa ietvaros ieguldījumus var veikt infrastruktūrā, ja tā ir valsts vai atvasinātas publiskas personas manta, kas ir projekta iesniedzēja valdījumā vai lietojumā uz termiņu, kas nav īsāks par pieciem gadiem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šādu prasību ievērošanu būvdarbu iepirkuma dokumentācijas sagatavošanā: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 kārtību, kā rīkoties gadījumos, kad piedāvātā līgumcena pārsniedz plānoto līgumcenu;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līgumā iekļauj preventīvus pasākumus izmaksu sadārdzinājuma riska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neveic apvienoto būvprojekta izstrādes un būvniecības iepirkumu.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Projektam izmaksu un ieguvumu ekonomisko analīzi veic atbilstoši projektu iesniegumu atlases nolikumā Izglītības un zinātnes ministrijas noteiktajiem izmaksu un ieguvumu ekonomiskās analīzes veikšanai izmantojamajiem pieņēmumiem un parametriem.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finansējuma saņēmējs projekta īstenošanas rezultātā gūst ieņēmumus un projekts atbilst Eiropas Parlamenta un Padomes 2013. gada 17. decembra Regulas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Regula Nr.  </w:t>
      </w:r>
      <w:r w:rsidR="00000000" w:rsidRPr="00000000" w:rsidDel="00000000">
        <w:rPr>
          <w:rtl w:val="0"/>
        </w:rPr>
        <w:t xml:space="preserve">1303/2013</w:t>
      </w:r>
      <w:r w:rsidR="00000000" w:rsidRPr="00000000" w:rsidDel="00000000">
        <w:rPr>
          <w:rtl w:val="0"/>
        </w:rPr>
        <w:t xml:space="preserve">), 61. panta 7. punkta "b" apakšpunkta un 65. panta 8. punkta nosacījumiem, finansējuma saņēmējs veic finanšu analīzi, lai noteiktu finansējuma deficīta apjomu, kas attiecināms finansēšanai no publiskiem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STEM studiju vides infrastruktūrā, kuru izmanto koledžas vajadzībām, pamatlīdzekļu un ilgtermiņa ieguldījumu amortizācijas periodā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nav ietekmes uz tirdzniecību un konkurenci Eiropas Savienības iekšējā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Sadarbības iestāde reizi gadā projekta infrastruktūras amortizācijas periodā pārbauda veikto investīciju atbilstību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sadarbības iestāde konstatē, ka ir pārkāptas šajos noteikumos noteiktās komercdarbības atbalsta kontroles normas, finansējuma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Regulā Nr.  </w:t>
      </w:r>
      <w:r w:rsidR="00000000" w:rsidRPr="00000000" w:rsidDel="00000000">
        <w:rPr>
          <w:rtl w:val="0"/>
        </w:rPr>
        <w:t xml:space="preserve">1303/2013</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projektā plānotās darbības netiek finansētas, kā arī tās nav plānots 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ieņēmumus, ja tādi rodas no projekta ietvaros radītās infrastruktūras izmantošanas, iegulda koledžā izglītības procesa darbību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horizontālā principa "Vienlīdzīgas iespējas" horizontālo rādītāju – objektu skaitu, kuros Eiropas Reģionālās attīstības fonda ieguldījumu rezultātā ir nodrošināta vides un informācijas pieejamība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horizontālā principa "Ilgtspējīga attīstība" horizontālo rādītāju – projekta īstenošanā izmantoto zaļo publisko iepirkumu skaitu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projekta īstenošanas laikā finansējuma saņēmējam, kas ir no valsts budžeta daļēji finansētas atvasinātas publiskas personas – augstskolas – aģentūra, ir paredzēts avanss, to var izmaksāt pa daļām. Viens avansa maksājums nepārsniedz 30 procentus, bet avansa un starpposma maksājumu kopsumma var būt 100 procenti no projektam piešķirtā Eiropas Reģionālās attīstības fonda finansējuma un valsts budžeta līdzfinansējuma kopsummas.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16.07.2019. noteikumiem Nr. 343)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būvdarbu izpildītājam vai preču piegādātājam var paredzēt avansa maksājumu līdz 30 procentiem no būvdarbu vai piegāžu līgumcenas. Lai saņemtu avansa maksājumu, būvdarbu izpildītājs vai preču piegādātājs finansējuma saņēmējam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nodrošina finansējuma saņēmējam avansa maksājumu atbilstoši normatīvajiem aktiem par valsts budžeta līdzekļu plānošanu Eiropas Savienības struktūrfondu un Kohēzijas fonda projektu īstenošanai un maksājumu veikšanu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iesniedzējs iesniedz saskaņošanai Izglītības un zinātnes ministrijā koledžas vidēja termiņa vai ilgtermiņa attīstības stratēģiju (turpmāk – koledžas attīstības stratēģija) 10 darbdienu laikā pēc šo noteikumu spēkā stāšanās.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punktā minētajā koledžas attīstības stratēģijā ietver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koledžas plānotās attīstības raksturojumu – sasniedzamos mērķus un attīstības virzienus, ievērojot nepieciešamību nodrošināt efektīvu resursu infrastruktūras izmantošanu: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mērķu un attīstības virzienu atbilstību Latvijas Viedās specializācijas stratēģijā noteiktajiem mērķiem, izaugsmes prioritātēm un viedās specializācijas jomām;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programmu piedāvājuma attīstības plānu;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cilvēkresursu attīstības plānu;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plānu sadarbības attīstībai ar citām augstākās izglītības institūcijām un darba devējiem;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pārvaldības pilnveides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investīciju attīstības raksturojumu, kas ietver: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koledžas rīcībā esošās infrastruktūras raksturojumu: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valdījumā vai lietojumā esošo ēku (būvju), ēku (būvju) daļu (telpu grupu) un zemes vienību uzskaitījumu, norādot to platību, pašreizējo stāvokli, lietojumu un apgrūtinājumus;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koledžas rīcībā esošo mācību iekārtu un aprīkojuma uzskaitījumu, to pašreizējā stāvokļa raksturojumu;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piecu gadu laikā veikto investīciju raksturojumu ēku (būvju), ēku (būvju) daļu (telpu grupu) un telpu modernizācijā un jaunu mācību iekārtu un aprīkojuma iegādē, kā arī esošo iekārtu un aprīkojuma modernizācijā, tai skaitā norādot veikto investīciju finansēšanas avotus;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attīstības plānu, tai skaitā norādot plānoto investīciju apjomu un finansēšanas avotus: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būvdarbu raksturojumu un pamatojumu ieguldījumu veikšanai;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iegādājamo mācību iekārtu un aprīkojuma uzskaitījumu un pamatojumu to iegādei.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Izglītības un zinātnes ministrija koledžu attīstības stratēģiju izvērtēšanai izveido koledžu attīstības stratēģiju izvērtēšanas komisiju. Komisijas sastāvā iekļauj Izglītības un zinātnes ministrijas un Veselības ministrijas pārstāvjus. Komisijas darbību nosaka Izglītības un zinātnes ministrijas izstrādāts un apstiprināts reglaments.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projekta ietvaros tiek plānota šo noteikumu </w:t>
      </w:r>
      <w:r w:rsidR="00000000" w:rsidRPr="00000000" w:rsidDel="00000000">
        <w:rPr>
          <w:rtl w:val="0"/>
        </w:rPr>
        <w:t xml:space="preserve">18.1.1.</w:t>
      </w:r>
      <w:r w:rsidR="00000000" w:rsidRPr="00000000" w:rsidDel="00000000">
        <w:rPr>
          <w:rtl w:val="0"/>
        </w:rPr>
        <w:t xml:space="preserve"> apakšpunktā minētā atbalstāmā darbība, projekta iesniedzējs projekta iesniegumā norāda būves enerģijas patēriņu (megavatstundas) pirms projekta īstenošanas. Finansējuma saņēmējam ir pienākums informēt sadarbības iestādi par būves enerģijas patēriņu (megavatstundas)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iestādei, saskaņojot ar atbildīgo iestādi,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īstenošanā netiek ievēroti noteiktie termiņi, vai ir iestājušies citi apstākļi, kas ietekmē vai var ietekmēt šo noteikumu </w:t>
      </w:r>
      <w:r w:rsidR="00000000" w:rsidRPr="00000000" w:rsidDel="00000000">
        <w:rPr>
          <w:rtl w:val="0"/>
        </w:rPr>
        <w:t xml:space="preserve">2.</w:t>
      </w:r>
      <w:r w:rsidR="00000000" w:rsidRPr="00000000" w:rsidDel="00000000">
        <w:rPr>
          <w:rtl w:val="0"/>
        </w:rPr>
        <w:t xml:space="preserve"> punktā minētā specifiskā atbalsta mērķa sasniegšanu un šo noteikumu </w:t>
      </w:r>
      <w:r w:rsidR="00000000" w:rsidRPr="00000000" w:rsidDel="00000000">
        <w:rPr>
          <w:rtl w:val="0"/>
        </w:rPr>
        <w:t xml:space="preserve">4.</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22-TA-2265</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22-TA-2265</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noteikumu_konsolidētā_versija_22-TA-2265.docx</dc:title>
</cp:coreProperties>
</file>

<file path=docProps/custom.xml><?xml version="1.0" encoding="utf-8"?>
<Properties xmlns="http://schemas.openxmlformats.org/officeDocument/2006/custom-properties" xmlns:vt="http://schemas.openxmlformats.org/officeDocument/2006/docPropsVTypes"/>
</file>