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7. novembra noteikumos Nr. 644 "Eiropas Savienības kohēzijas politikas programmas 2021.–2027. gadam 1.2.1. specifiskā atbalsta mērķa "Pētniecības un inovāciju kapacitātes stiprināšana un progresīvu tehnoloģiju ieviešana uzņēmumiem" 1.2.1.4. pasākuma "Atbalsts tehnoloģiju pārneses sistēmas pilnveidošanai"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2021.–2027. gada plānošanas perioda vadības likuma 19. panta</w:t>
      </w:r>
      <w:r w:rsidR="00000000" w:rsidRPr="00000000" w:rsidDel="00000000">
        <w:rPr>
          <w:rStyle w:val="paragraph"/>
          <w:i w:val="1"/>
          <w:rtl w:val="0"/>
        </w:rPr>
        <w:t xml:space="preserve"> 6. un 13. punktu un </w:t>
      </w:r>
      <w:r w:rsidR="00000000" w:rsidRPr="00000000" w:rsidDel="00000000">
        <w:rPr>
          <w:rStyle w:val="paragraph"/>
          <w:i w:val="1"/>
          <w:rtl w:val="0"/>
        </w:rPr>
        <w:t xml:space="preserve">Jaunuzņēmumu darbības atbalsta likuma 7. panta</w:t>
      </w:r>
      <w:r w:rsidR="00000000" w:rsidRPr="00000000" w:rsidDel="00000000">
        <w:rPr>
          <w:rStyle w:val="paragraph"/>
          <w:i w:val="1"/>
          <w:rtl w:val="0"/>
        </w:rPr>
        <w:t xml:space="preserve">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7. novembra noteikumos Nr. 644 "Eiropas Savienības kohēzijas politikas programmas 2021.–2027. gadam 1.2.1. specifiskā atbalsta mērķa "Pētniecības un inovāciju kapacitātes stiprināšana un progresīvu tehnoloģiju ieviešana uzņēmumiem" 1.2.1.4. pasākuma "Atbalsts tehnoloģiju pārneses sistēmas pilnveidošanai" īstenošanas noteikumi" (Latvijas Vēstnesis, 2023, 225. nr.; 2024, 40.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Finansējuma saņēmējs pēc atbildīgās iestādes pieprasījuma 10 darbdienu laikā iesniedz atbildīgajai iestādei informāciju par: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32.1. atbalstu saņēmušo komersantu samaksāto nodokļu apmēru;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32.2. augsti kvalificētu darbinieku skaitu;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32.3. atbalstu saņēmušo komersantu eksporta apjomu, vienlaikus informējot, vai eksporta apjoms atbalstītajos komersantos sasniedz vismaz 10 % piecu gadu laikā no gala labuma guvēju noslēguma pārskata iesniegšanas dienas;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32.4. atbalstu saņēmušo komersantu produktivitātes apjomu, vienlaikus informējot, vai produktivitātes apjoms atbalstītajos komersantos sasniedz vismaz 10 % piecu gadu laikā no gala labuma guvēju noslēguma pārskata iesniegšanas dienas."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33.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Pasākuma ietvaros vadības informācijas sistēmā uzkrāj šādus RIS3 rādītājus katrā no RIS3 jomām sadalījumā pa gala labuma guvēju veidiem: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33.1. pētniecības un attīstības izdevumu apjoms – publiskais finansējums (euro);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33.2. pētniecības un attīstības izdevumu apjoms – privātās investīcijas (euro);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33.3. kopējie pētniecības un attīstības izdevumi: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33.3.1. iekšējie izdevumi uzņēmumā veiktajiem pētniecības un attīstības darbiem;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33.3.2. ārējie izdevumi pētniecības un attīstības darbiem, kas pasūtīti citās iestādēs, uzņēmumos, organizācijās;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33.4. kopējais pētniecības un attīstības personāls (pilna laika ekvivalents):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33.4.1. iekšējais pētniecības un attīstības personāls: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33.4.1.1. pētnieki (zinātnieki un citi profesionāļi);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33.4.1.2. pētniecības un attīstības tehniskais un pētniecības un attīstības atbalsta personāls;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33.4.2. ārējais pētniecības un attīstības personāls – pētnieki, ieskaitot neapmaksātos (zinātnieki un citi profesionāļi);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33.4.2.1. pētnieki (zinātnieki un citi profesionāļi);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33.4.2.2. pētniecības un attīstības tehniskais un pētniecības un attīstības atbalsta personāls;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33.5. 33.4.1. apakšpunktā minētā iesaistītā pētniecības un attīstības personāla izglītība: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33.5.1. ar doktora grādu;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33.5.2. ar maģistra grādu, bakalaura grādu, pirmā vai otrā līmeņa augstāko vai profesionālo izglītību;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33.5.3. ar cita līmeņa izglītību, kas ir zemāka par šo noteikumu 33.5.2. apakšpunktā minēto;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33.6. piesaistītais ārvalstu finansējums (euro) (no starptautiskām pētniecības programmām vai no ārvalstu partneriem) pētniecībai uzņēmumā;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33.7. rūpnieciskie pētījumi (pētniecības un attīstības izdevumu apjoms, euro);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33.8. fundamentālie pētījumi (pētniecības un attīstības izdevumu apjoms, euro);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33.9. tehniski ekonomiskā priekšizpēte (pētniecības un attīstības izdevumu apjoms, euro);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33.10. eksperimentālās izstrādes (pētniecības un attīstības izdevumu apjoms, euro);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33.11. darbaspēka izmaksas (pētniecības un attīstības izdevumu apjoms, euro);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33.12. jaunradītās tehnoloģijas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33.13. jaunradītie produkti (preces un pakalpojumi, kas nav tehnoloģijas)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33.14. atbalstīto komersantu skaits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33.15. radītie rūpnieciskā īpašuma objekti: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33.15.1. patents un patentu pieteikumi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33.15.2. augu šķirne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33.15.3. reģistrēts dizainparaugs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33.15.4. pusvadītāja izstrādājums vai tā pieteikums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33.15.5. preču zīme (ieskaitot kolektīvās zīmes) un sertifikācijas zīme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33.16. publikācijas </w:t>
      </w:r>
      <w:r w:rsidR="00000000" w:rsidRPr="00000000" w:rsidDel="00000000">
        <w:rPr>
          <w:i w:val="1"/>
          <w:rtl w:val="0"/>
        </w:rPr>
        <w:t xml:space="preserve">WoS </w:t>
      </w:r>
      <w:r w:rsidR="00000000" w:rsidRPr="00000000" w:rsidDel="00000000">
        <w:rPr>
          <w:rtl w:val="0"/>
        </w:rPr>
        <w:t xml:space="preserve">un </w:t>
      </w:r>
      <w:r w:rsidR="00000000" w:rsidRPr="00000000" w:rsidDel="00000000">
        <w:rPr>
          <w:i w:val="1"/>
          <w:rtl w:val="0"/>
        </w:rPr>
        <w:t xml:space="preserve">SCOPUS</w:t>
      </w:r>
      <w:r w:rsidR="00000000" w:rsidRPr="00000000" w:rsidDel="00000000">
        <w:rPr>
          <w:rtl w:val="0"/>
        </w:rPr>
        <w:t xml:space="preserve">, tai skaitā sadarbībā ar nozari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33.17. ar projekta īstenošanu saistīto jaunradīto darba vietu pētniecībā un attīstībā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33.18. komersanta neto apgrozījums (euro) no projekta rezultāta ieviešanas saimnieciskajā darbībā vai komercializēšanas;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33.19. komersanta eksports (euro) no projekta rezultāta ieviešanas saimnieciskajā darbībā vai komercializēšanas."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34.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Finansējuma saņēmējs šo noteikumu 33. punktā minēto informāciju, papildus norādot gala labuma guvēja reģistrācijas numuru, vismaz vienu reizi gadā iesniedz vadības informācijas sistēmā kopā ar maksājuma pieprasījumu vai 10 darbdienu laikā pēc atbildīgās iestādes pieprasījuma saņemšanas."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59.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"59. Viena pieteikuma ietvaros atbalsts komersantam iepirkuma līguma priekšmeta īstenošanai nepārsniedz 50 000 </w:t>
      </w:r>
      <w:r w:rsidR="00000000" w:rsidRPr="00000000" w:rsidDel="00000000">
        <w:rPr>
          <w:i w:val="1"/>
          <w:rtl w:val="0"/>
        </w:rPr>
        <w:t xml:space="preserve">euro,</w:t>
      </w:r>
      <w:r w:rsidR="00000000" w:rsidRPr="00000000" w:rsidDel="00000000">
        <w:rPr>
          <w:rtl w:val="0"/>
        </w:rPr>
        <w:t xml:space="preserve"> ievērojot atbalsta intensitāti saskaņā ar Komisijas regulu Nr. 2023/2831. Vienlaikus tiek izpildīti šādi nosacījumi: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59.1. pasūtītājs sedz atlikušo iepirkuma līgumcenas daļu, un par to komersants iesniedz apliecinājumu finansējuma saņēmējam;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59.2. komersants finansējuma saņēmējam iesniedz iepirkuma līguma kopiju vai iepirkuma līguma norakstu, kas apliecina, ka komersantam ir tiesības iepirkuma līguma rezultātā radīto intelektuālo īpašumu, zinātību, jauno produktu vai tehnoloģiju izmantot ārpus iepirkuma līguma."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Svītrot 60.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61.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 Atbalstu šo noteikumu 57. punktā minētajām darbībām sniedz saskaņā ar Komisijas regulu Nr. 2023/2831."</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63.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 Šajos noteikumos minētās izmaksas finansējuma saņēmējam ir attiecināmas no šo noteikumu spēkā stāšanās brīža. Ja atbalstu piešķir saskaņā ar Komisijas regulu Nr. 2023/2831, šajos noteikumos minētās izmaksas gala labuma guvējiem ir attiecināmas no dienas, kad pieņemts lēmums par atbalsta piešķiršanu gala labuma guvējam."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75.2.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"75.2. tas šā pasākuma ietvaros sniedzis nepatiesu informāciju vai tīši maldinājis par Eiropas Savienības fondu un Kohēzijas fonda līdzfinansēto projektu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Svītrot 75.3.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Svītrot 76.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77.</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vertAlign w:val="superscript"/>
          <w:rtl w:val="0"/>
        </w:rPr>
        <w:t xml:space="preserve">5</w:t>
      </w:r>
      <w:r w:rsidR="00000000" w:rsidRPr="00000000" w:rsidDel="00000000">
        <w:rPr>
          <w:rtl w:val="0"/>
        </w:rPr>
        <w:t xml:space="preserve"> Valsts ieņēmumu dienests saskaņā ar starpresoru vienošanos starp finansējuma saņēmēju un Valsts ieņēmumu dienestu nodrošina finansējuma saņēmējam pieeju datiem (darba devēja nosaukums un reģistrācijas numurs) par darba ņēmēja nodarbinātību, lai finansējuma saņēmējs izskatītu gala labuma guvēja iesnieguma par šo noteikumu 36.7. apakšpunktā minētā projekta īstenošanu un ar to saistītās dokumentācijas, un projekta īstenošanas dokumentācijas atbilstību šo noteikumu 39.2., 39.4., 39.5., 39.6. apakšpunkta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81.3.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"81.3. šo noteikumu 57.1. un 57.2. apakšpunktā minētajām darbībām, ievērojot šo noteikumu 59. punktā minētos nosacījumus, ir 50 %;".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83.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"83. Finansējuma saņēmējs pirms </w:t>
      </w:r>
      <w:r w:rsidR="00000000" w:rsidRPr="00000000" w:rsidDel="00000000">
        <w:rPr>
          <w:i w:val="1"/>
          <w:rtl w:val="0"/>
        </w:rPr>
        <w:t xml:space="preserve">de minimis</w:t>
      </w:r>
      <w:r w:rsidR="00000000" w:rsidRPr="00000000" w:rsidDel="00000000">
        <w:rPr>
          <w:rtl w:val="0"/>
        </w:rPr>
        <w:t xml:space="preserve"> atbalsta piešķiršanas gala labuma guvējam pārbauda, vai plānotais </w:t>
      </w:r>
      <w:r w:rsidR="00000000" w:rsidRPr="00000000" w:rsidDel="00000000">
        <w:rPr>
          <w:i w:val="1"/>
          <w:rtl w:val="0"/>
        </w:rPr>
        <w:t xml:space="preserve">de minimis</w:t>
      </w:r>
      <w:r w:rsidR="00000000" w:rsidRPr="00000000" w:rsidDel="00000000">
        <w:rPr>
          <w:rtl w:val="0"/>
        </w:rPr>
        <w:t xml:space="preserve"> atbalsts kopā ar iepriekšējos trijos gados no atbalsta piešķiršanas dienas piešķirto </w:t>
      </w:r>
      <w:r w:rsidR="00000000" w:rsidRPr="00000000" w:rsidDel="00000000">
        <w:rPr>
          <w:i w:val="1"/>
          <w:rtl w:val="0"/>
        </w:rPr>
        <w:t xml:space="preserve">de minimis</w:t>
      </w:r>
      <w:r w:rsidR="00000000" w:rsidRPr="00000000" w:rsidDel="00000000">
        <w:rPr>
          <w:rtl w:val="0"/>
        </w:rPr>
        <w:t xml:space="preserve"> atbalstu viena vienota uzņēmuma līmenī nepārsniedz Komisijas regulas Nr. 2023/2831 3. panta 2. punktā noteikto maksimālo </w:t>
      </w:r>
      <w:r w:rsidR="00000000" w:rsidRPr="00000000" w:rsidDel="00000000">
        <w:rPr>
          <w:i w:val="1"/>
          <w:rtl w:val="0"/>
        </w:rPr>
        <w:t xml:space="preserve">de minimis </w:t>
      </w:r>
      <w:r w:rsidR="00000000" w:rsidRPr="00000000" w:rsidDel="00000000">
        <w:rPr>
          <w:rtl w:val="0"/>
        </w:rPr>
        <w:t xml:space="preserve">atbalsta apmēru. </w:t>
      </w:r>
      <w:r w:rsidR="00000000" w:rsidRPr="00000000" w:rsidDel="00000000">
        <w:rPr>
          <w:i w:val="1"/>
          <w:rtl w:val="0"/>
        </w:rPr>
        <w:t xml:space="preserve">De minimis </w:t>
      </w:r>
      <w:r w:rsidR="00000000" w:rsidRPr="00000000" w:rsidDel="00000000">
        <w:rPr>
          <w:rtl w:val="0"/>
        </w:rPr>
        <w:t xml:space="preserve">atbalsta apmērs tiek vērtēts viena vienota uzņēmuma līmenī."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84.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"84. Šo noteikumu ietvaros piešķirto de minimis atbalstu drīkst kumulēt ar citu de minimis atbalstu, tai skaitā attiecībā uz vienām un tām pašām attiecināmajām izmaksām, līdz Komisijas regulas Nr.2023/2831 3.panta 2.punktā noteiktajam attiecīgajam robežlielumam, kā arī drīkst kumulēt ar citu komercdarbības atbalstu, tai skaitā attiecībā uz vienām un tām pašām attiecināmajām izmaksām, vai citu valsts atbalstu tam pašam riska finansējuma pasākumam, ja netiek pārsniegta attiecīgā maksimālā atbalsta intensitāte vai atbalsta summa, kāda noteikta komercdarbības atbalsta programmā, ad-hoc lēmumā vai Eiropas Komisijas lēmumā. De minimis atbalstu ar citu de minimis atbalstu par vienām un tām pašām izmaksām var apvienot, ja pēc atbalstu apvienošanas atbalsta vienībai vai izmaksu pozīcijai attiecīgā maksimālā atbalsta intensitāte nepārsniedz 100 procentus."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85.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 Finansējuma saņēmējs lēmumu par de minimis atbalsta piešķiršanu var pieņemt līdz 2030. gada 31. decembrim, ievērojot Komisijas regulas Nr. 2023/2831 7. panta 3. punktā un 8. pantā noteikto darbības termiņu."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88.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"88. De minimis atbalstu saskaņā ar Komisijas regulu Nr.2023/2831 piešķir, ievērojot Komisijas regulas Nr.2023/2831 1.panta 1.punktā minētos nozaru un darbību ierobežojumus, kā arī finansējuma saņēmējs nepiešķir gala labuma guvējam de minimis atbalstu, ja tas darbojas kādā no Eiropas Parlamenta un Padomes 2021. gada 24. jūnija Regulas (ES) Nr. 2021/1058 par Eiropas Reģionālās attīstības fondu un Kohēzijas fondu 7. panta 1. punktā noteiktajām neatbalstāmajām nozarēm un šo noteikumu 2. pielikumā noteiktajām neatbalstāmajām nozarēm un darbībām."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89.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"89. Ja tiek pārkāpti Komisijas regulas Nr. 2023/2831 nosacījumi, gala labuma guvējam ir pienākums atmaksāt atbalsta sniedzējam projekta ietvaros saņemto nelikumīgo de minimis atbalstu kopā ar procentiem no līdzekļiem, kas brīvi no komercdarbības atbalsta, atbilstoši Komercdarbības atbalsta kontroles likuma IV vai V nodaļas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Svītrot VIII nodaļu.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24-TA-1269</w:t>
    </w:r>
    <w:r>
      <w:br/>
    </w:r>
    <w:r w:rsidR="00000000" w:rsidRPr="00000000" w:rsidDel="00000000">
      <w:rPr>
        <w:rtl w:val="0"/>
      </w:rPr>
      <w:t xml:space="preserve">Izdrukāts 29.07.2026. 21.54 - 1.0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24-TA-1269</w:t>
    </w:r>
    <w:r>
      <w:br/>
    </w:r>
    <w:r w:rsidR="00000000" w:rsidRPr="00000000" w:rsidDel="00000000">
      <w:rPr>
        <w:rtl w:val="0"/>
      </w:rPr>
      <w:t xml:space="preserve">Izdrukāts 29.07.2026. 21.54 - 1.0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noteikumu_(grozījumu)_projekts_24-TA-1269.docx</dc:title>
</cp:coreProperties>
</file>

<file path=docProps/custom.xml><?xml version="1.0" encoding="utf-8"?>
<Properties xmlns="http://schemas.openxmlformats.org/officeDocument/2006/custom-properties" xmlns:vt="http://schemas.openxmlformats.org/officeDocument/2006/docPropsVTypes"/>
</file>