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jūnijā (prot. Nr. 23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ministrijas armijas daļām, Černihivas apgabala Korjukivas rajona Korjukivas pilsētas domei, Nacionālās gvardes militārajām vienībām, Harkivas apgabala Izjumas rajona Borivas ciema domei, Hmeļnickas apgabala Kamjanecas-Podiļskas rajona Kitaigorodas ciema domei, Zaporižjas reģiona Energodaras pilsētas domes izpildkomitejai)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24-TA-1203</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24-TA-1203</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rīkojuma_projekts_24-TA-1203.docx</dc:title>
</cp:coreProperties>
</file>

<file path=docProps/custom.xml><?xml version="1.0" encoding="utf-8"?>
<Properties xmlns="http://schemas.openxmlformats.org/officeDocument/2006/custom-properties" xmlns:vt="http://schemas.openxmlformats.org/officeDocument/2006/docPropsVTypes"/>
</file>