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28. janvārī (prot. Nr. 4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4. oktobra noteikumos Nr. 619 "Eiropas Savienības Atveseļošanas un noturības mehānisma plāna 3.1.1.5.i investīcijas "Izglītības iestāžu infrastruktūras pilnveide un aprīkošana" īstenošanas noteikumi" (Latvijas Vēstnesis, 2022, 195. nr.; 2023, 72. nr.; 2024, 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Projektu iesniedzēju priekšatlasi īsteno trijās kārtās ar šādu Atveseļošanas fonda finansējuma sadalījumu pa atlases 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pirmās projektu iesniedzēju priekšatlases kārtas ietvaros plānotais Atveseļošanas fonda finansējums ir 24 552 000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otrās projektu iesniedzēju priekšatlases kārtas ietvaros plānotais Atveseļošanas fonda finansējums ir 4 403 243 </w:t>
      </w:r>
      <w:r w:rsidR="00000000" w:rsidRPr="00000000" w:rsidDel="00000000">
        <w:rPr>
          <w:i w:val="1"/>
          <w:rtl w:val="0"/>
        </w:rPr>
        <w:t xml:space="preserve">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 trešās projektu iesniedzēju priekšatlases kārtas ietvaros plānotais Atveseļošanas fonda finansējums ir 2 935 496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piedalās pašvaldība, kas līdz 2025. gada 20. februārim pieņem lēmumu par vispārējās vidējās izglītības iestāžu tīkla sakārtošanu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 un pēc tam iesniedz minēto lēmumu saskaņošanai nozares ministrijā."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Atbilstoši šo noteikumu 10.</w:t>
      </w:r>
      <w:r w:rsidR="00000000" w:rsidRPr="00000000" w:rsidDel="00000000">
        <w:rPr>
          <w:vertAlign w:val="superscript"/>
          <w:rtl w:val="0"/>
        </w:rPr>
        <w:t xml:space="preserve">2</w:t>
      </w:r>
      <w:r w:rsidR="00000000" w:rsidRPr="00000000" w:rsidDel="00000000">
        <w:rPr>
          <w:rtl w:val="0"/>
        </w:rPr>
        <w:t xml:space="preserve"> punktā minētajiem pašvaldību domju pieņemtajiem un ar nozares ministriju saskaņotajiem lēmumiem par vispārējās vidējās izglītības iestāžu tīkla sakārtošanu nozares ministrija organizē trešo projektu iesniedzēju priekšatlases kārtu, izvērtējot pašvaldību atbilstību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bet Aizputes vidusskolā, Auces vidusskolā, Dagdas vidusskolā, Dundagas vidusskolā, Engures vidusskolā, Jaunpiebalgas vidusskolā, Kārsavas vidusskolā, Kaunatas vidusskolā, Nīcas vidusskolā, Rojas vidusskolā, Rūjienas vidusskolā, Salacgrīvas vidusskolā, Skaistkalnes vidusskolā, Vaiņodes vidusskolā, Viesītes vidusskolā vai Viļakas vidusskolā – vismaz 30 izglītojamie;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 pašvaldība atbilstoši šo noteikumu 11.</w:t>
      </w:r>
      <w:r w:rsidR="00000000" w:rsidRPr="00000000" w:rsidDel="00000000">
        <w:rPr>
          <w:vertAlign w:val="superscript"/>
          <w:rtl w:val="0"/>
        </w:rPr>
        <w:t xml:space="preserve">2</w:t>
      </w:r>
      <w:r w:rsidR="00000000" w:rsidRPr="00000000" w:rsidDel="00000000">
        <w:rPr>
          <w:rtl w:val="0"/>
        </w:rPr>
        <w:t xml:space="preserve"> punktā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2.1. saskaņā ar Valsts izglītības informācijas sistēmas datiem uz 2024. gada 1. septembri tai ir lielākais izglītojamo skaits 1.–9. klašu grupā;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2.2. tā atrodas līdz 2021. gada 1. jūlijam reorganizētas pašvaldības administratīvajā centrā;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 tai pēdējos piecos gados ir stabila pozitīva izglītojamo skaita dinamika 1.–6. klašu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Šo noteikumu 11.,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punktā minētajās priekšatlasēs ņem vērā pašvaldību domju lēmumus, ja tie pieņemti, sākot ar 2020. gada 1. februāri."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šo noteikumu 11.</w:t>
      </w:r>
      <w:r w:rsidR="00000000" w:rsidRPr="00000000" w:rsidDel="00000000">
        <w:rPr>
          <w:vertAlign w:val="superscript"/>
          <w:rtl w:val="0"/>
        </w:rPr>
        <w:t xml:space="preserve">2</w:t>
      </w:r>
      <w:r w:rsidR="00000000" w:rsidRPr="00000000" w:rsidDel="00000000">
        <w:rPr>
          <w:rtl w:val="0"/>
        </w:rPr>
        <w:t xml:space="preserve"> punktā minētajiem kritērijiem atbilstošas pašvaldību investīcijai izvirzītas izglītības iestādes tiek sakārtotas šādā prioritārā secībā: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 izglītības iestāde atrodas pašvaldībā, kas nav apstiprināta kā Atveseļošanas fonda projekta iesniedzējs investīcijas pirmās vai otrās projektu iesniedzēju priekšatlases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 viena vispārējās izglītības iestāde no katras pašvaldības dilstošā kārtībā atbilstoši izglītības iestādes izglītojamo skaitam 1.–9. klašu grupā saskaņā ar Valsts izglītības informācijas sistēmas datiem uz 2024. gada 1. septembri;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 ja trešajā projektu iesniedzēju priekšatlases kārtā piedalās viena pašvaldība, tad tā investīcijai var izvirzīt papildu vienu vispārējās izglītības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Nozares ministrija mēneša laikā pēc pašvaldību izvērtēšanas atbilstoši šo noteikumu 11.</w:t>
      </w:r>
      <w:r w:rsidR="00000000" w:rsidRPr="00000000" w:rsidDel="00000000">
        <w:rPr>
          <w:vertAlign w:val="superscript"/>
          <w:rtl w:val="0"/>
        </w:rPr>
        <w:t xml:space="preserve">2</w:t>
      </w:r>
      <w:r w:rsidR="00000000" w:rsidRPr="00000000" w:rsidDel="00000000">
        <w:rPr>
          <w:rtl w:val="0"/>
        </w:rPr>
        <w:t xml:space="preserve"> punktā minētajiem kritērijiem iesniedz Ministru kabinetā informāciju lēmuma pieņemšanai par priekšatlasē atlasītajām pašvaldībām, katrai pašvaldībai plānoto maksimālo Atveseļošanas fonda finansējumu un ne vairāk kā divām investīcijai izvirzītajām izglītības iestādēm, kas sarindotas atbilstoši šo noteikumu 13.</w:t>
      </w:r>
      <w:r w:rsidR="00000000" w:rsidRPr="00000000" w:rsidDel="00000000">
        <w:rPr>
          <w:vertAlign w:val="superscript"/>
          <w:rtl w:val="0"/>
        </w:rPr>
        <w:t xml:space="preserve">2</w:t>
      </w:r>
      <w:r w:rsidR="00000000" w:rsidRPr="00000000" w:rsidDel="00000000">
        <w:rPr>
          <w:rtl w:val="0"/>
        </w:rPr>
        <w:t xml:space="preserve"> punktā minētajai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Trešajā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2024.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Mēneša laikā pēc šo noteikumu 16., 16.</w:t>
      </w:r>
      <w:r w:rsidR="00000000" w:rsidRPr="00000000" w:rsidDel="00000000">
        <w:rPr>
          <w:vertAlign w:val="superscript"/>
          <w:rtl w:val="0"/>
        </w:rPr>
        <w:t xml:space="preserve">1</w:t>
      </w:r>
      <w:r w:rsidR="00000000" w:rsidRPr="00000000" w:rsidDel="00000000">
        <w:rPr>
          <w:rtl w:val="0"/>
        </w:rPr>
        <w:t xml:space="preserve"> un 16.</w:t>
      </w:r>
      <w:r w:rsidR="00000000" w:rsidRPr="00000000" w:rsidDel="00000000">
        <w:rPr>
          <w:vertAlign w:val="superscript"/>
          <w:rtl w:val="0"/>
        </w:rPr>
        <w:t xml:space="preserve">2</w:t>
      </w:r>
      <w:r w:rsidR="00000000" w:rsidRPr="00000000" w:rsidDel="00000000">
        <w:rPr>
          <w:rtl w:val="0"/>
        </w:rPr>
        <w:t xml:space="preserve"> punktā minētā Ministru kabineta lēmuma pieņemšanas nozares ministrija nosūta Ministru kabineta lēmumā minētajām pašvaldībām (turpmāk – projekta iesniedzējs) uzaicinājumu sagatavot un iesniegt projekta iesniegumu Kohēzijas politikas fondu vadības informācijas sistēmā (turpmāk – vadības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Investīcijai izvirzītā izglītības iestāde darbību kā pamatskola uzsāk ne vēlāk kā 2026. gada 1. septembrī."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"22.2.1. mācību telpu (klašu, kabinetu, auditoriju, laboratoriju), aktu zāles, bibliotēkas vai lasītavas pārbūves un atjaunošanas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"22.2.2. gaiteņu, kāpņu, tostarp evakuācijas kāpņu, un sanitāro mezglu pārbūves un atjaunošanas izmaksas, ja tiek īstenoti šo noteikumu 22.2.1. apakšpunktā minētie darbi;".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"22.2.3. iekšējo inženiertīklu (iekšējo elektrotīklu, apkures sistēmu, vēdināšanas un gaisa kondicionēšanas sistēmu, ūdensvada tīklu, kanalizācijas tīklu, balss apziņošanas, automātisko ugunsgrēka atklāšanas, trauksmes signalizācijas, automātiskās balss ugunsgrēka izziņošanas sistēmu, video novērošanas sistēmu, drošas iekļuves ēkā kontroles sistēmu) izbūves un pārbūves izmaksas. Minētās izmaksas plāno kā papildinošas šo noteikumu 22.2.1. un 22.2.2. apakšpunktā minētajām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22.3.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vertAlign w:val="superscript"/>
          <w:rtl w:val="0"/>
        </w:rPr>
        <w:t xml:space="preserve">1</w:t>
      </w:r>
      <w:r w:rsidR="00000000" w:rsidRPr="00000000" w:rsidDel="00000000">
        <w:rPr>
          <w:rtl w:val="0"/>
        </w:rPr>
        <w:t xml:space="preserve"> vispārējās izglītības iestādes sporta laukuma, sporta zāles un to iekštelpu ģērbtuvju ar dušas telpām pārbūves, atjaunošanas un aprīkošanas izmaksas, kas nepārsniedz 20 procentus no projekta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inovatīvu informācijas un komunikācijas tehnoloģiju risinājumu ieviešanas izmaksas, tai skaitā interneta, bezvadu interneta un augstas veiktspējas interneta tīkla pieslēguma izveides vai pārbūves izmaksas, mācību procesa nodrošināšanai nepieciešamā aprīkojuma un programmatūras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Izmaksas, kas saskaņā ar šiem noteikumiem nav noteiktas kā attiecināmās izmaksas, ir finansējamas ārpus projekta."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26.4.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w:t>
      </w:r>
      <w:r w:rsidR="00000000" w:rsidRPr="00000000" w:rsidDel="00000000">
        <w:rPr>
          <w:vertAlign w:val="superscript"/>
          <w:rtl w:val="0"/>
        </w:rPr>
        <w:t xml:space="preserve">1</w:t>
      </w:r>
      <w:r w:rsidR="00000000" w:rsidRPr="00000000" w:rsidDel="00000000">
        <w:rPr>
          <w:rtl w:val="0"/>
        </w:rPr>
        <w:t xml:space="preserve"> ir izsludināta iepirkuma procedūra par projektā plānotajiem būvdarbiem (attiecināms uz šo noteikumu 16.</w:t>
      </w:r>
      <w:r w:rsidR="00000000" w:rsidRPr="00000000" w:rsidDel="00000000">
        <w:rPr>
          <w:vertAlign w:val="superscript"/>
          <w:rtl w:val="0"/>
        </w:rPr>
        <w:t xml:space="preserve">2</w:t>
      </w:r>
      <w:r w:rsidR="00000000" w:rsidRPr="00000000" w:rsidDel="00000000">
        <w:rPr>
          <w:rtl w:val="0"/>
        </w:rPr>
        <w:t xml:space="preserve"> punktā minētajām novadu pašvaldībām);".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Aģentūra projekta īstenošanas laikā un projekta dzīves cikla laikā (10 gadi) atbilstoši nozares ministrijas izstrādātajai papildinošas saimnieciskās darbības uzraudzības metodikai nodrošina papildinošas saimnieciskās darbības uzraudzību projekta uzlabotajai infrastruktūrai. Finansējuma saņēmējs projekta dzīves ciklā (10 gadi) katru gadu sagatavo pārskatu par papildinošas saimnieciskās darbības apjomu un nodrošina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projekta uzlabotā infrastruktūra tiek izmantota citai saimnieciskajai darbībai, kas nav uzskatāma par papildinošu saimniecisku darbību, tas saskaņā ar vienošanos par projekta īstenošanu iesniedz noteiktā termiņā aģentūrā ziņojumu par konstatēto pārkāpumu."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24-TA-2895</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24-TA-2895</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noteikumu_(grozījumu)_projekts_24-TA-2895.docx</dc:title>
</cp:coreProperties>
</file>

<file path=docProps/custom.xml><?xml version="1.0" encoding="utf-8"?>
<Properties xmlns="http://schemas.openxmlformats.org/officeDocument/2006/custom-properties" xmlns:vt="http://schemas.openxmlformats.org/officeDocument/2006/docPropsVTypes"/>
</file>