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tbl>
      <w:tblPr>
        <w:tblStyle w:val="DefaultTable"/>
        <w:bidiVisual w:val="0"/>
        <w:tblW w:w="95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7"/>
        <w:gridCol w:w="3158"/>
        <w:gridCol w:w="1549"/>
        <w:gridCol w:w="1359"/>
        <w:gridCol w:w="1265"/>
        <w:gridCol w:w="981"/>
        <w:tblGridChange w:id="0">
          <w:tblGrid>
            <w:gridCol w:w="697"/>
            <w:gridCol w:w="3158"/>
            <w:gridCol w:w="1549"/>
            <w:gridCol w:w="1359"/>
            <w:gridCol w:w="1265"/>
            <w:gridCol w:w="981"/>
          </w:tblGrid>
        </w:tblGridChange>
      </w:tblGrid>
      <w:tr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specializētā transportlīdzekļa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217,27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45,63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262,90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autokāpņu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385,24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80,90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466,14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Laivas noma ar transporta piekabi (pieejams tikai kopā ar Valsts ugunsdzēsības un glābšanas dienesta specializētā transportlīdzekļa nomu)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26,26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31,77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un izsniegšana par balss zvana vai īsziņas saņemšanu uz vienoto ārkārtas palīdzības izsaukumu numuru "112"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31,03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6,52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37,55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5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Ugunsdzēsības muzeja apmeklējums* 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individuāls apmeklējums pieaugušajam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vai studentam (uzrādot apliecību)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 (1–2 pieaugušajiem ar 1–2 skolas vecuma bērniem)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Gida pakalpojumi Latvijas Ugunsdzēsības muzejā*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grupa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Videofilmas demonstrēšana Latvijas Ugunsdzēsības muzejā*</w:t>
            </w:r>
            <w:r w:rsidR="00000000" w:rsidRPr="00000000" w:rsidDel="00000000">
              <w:rPr>
                <w:vertAlign w:val="superscript"/>
                <w:rtl w:val="0"/>
              </w:rPr>
              <w:t xml:space="preserve">;</w:t>
            </w:r>
            <w:r w:rsidR="00000000" w:rsidRPr="00000000" w:rsidDel="00000000">
              <w:rPr>
                <w:rtl w:val="0"/>
              </w:rPr>
              <w:t xml:space="preserve"> **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seanss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Pievienotās vērtības nodokli nepiemēro saskaņā ar Pievienotās vērtības nodokļa likuma 52. panta pirmās daļas 17. punkta "d"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  Cena par seansu noteikta neatkarīgi no personu skaita.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24-TA-150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