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Patērētāju tiesību aizsardzības centra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Patērētāju tiesību aizsardzības centrs (turpmāk - centrs) ir ekonomikas ministra pārraudzībā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mērķis ir īstenot patērētāju tiesību un interešu aizsardzību, tirgus uzraudzību, kā arī bīstamo iekārtu un reglamentētās metroloģijas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10.11.2009. noteikumu Nr.1300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Centra kompetence, funkcijas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 kompetencē ir Patērētāju tiesību aizsardzības likumā un citos normatīvajos aktos noteikto tiesību un pienākumu īstenošana un funkciju pildīšana patērētāju tiesību un interešu aizsardzības, tirgus uzraudzības, kā arī bīstamo iekārtu uzraudzības un reglamentētās metroloģijas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10.11.2009. noteikumu Nr.1300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centram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kompetencei kontrolēt un uzraudzīt tirgū piedāvāto (piedāvājamo) preču un pakalpojumu atbilstību drošuma prasībām, kā arī citām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par šo noteikumu </w:t>
      </w:r>
      <w:r w:rsidR="00000000" w:rsidRPr="00000000" w:rsidDel="00000000">
        <w:rPr>
          <w:rtl w:val="0"/>
        </w:rPr>
        <w:t xml:space="preserve">4.1.</w:t>
      </w:r>
      <w:r w:rsidR="00000000" w:rsidRPr="00000000" w:rsidDel="00000000">
        <w:rPr>
          <w:rtl w:val="0"/>
        </w:rPr>
        <w:t xml:space="preserve"> apakšpunktā minētajām precēm un pakalpojumiem sniegtās informācijas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uzraudzīt par šo noteikumu </w:t>
      </w:r>
      <w:r w:rsidR="00000000" w:rsidRPr="00000000" w:rsidDel="00000000">
        <w:rPr>
          <w:rtl w:val="0"/>
        </w:rPr>
        <w:t xml:space="preserve">4.1.</w:t>
      </w:r>
      <w:r w:rsidR="00000000" w:rsidRPr="00000000" w:rsidDel="00000000">
        <w:rPr>
          <w:rtl w:val="0"/>
        </w:rPr>
        <w:t xml:space="preserve"> apakšpunktā minēto preču un pakalpojumu ražotāju, importētāju, izplatītāju vai pakalpojumu sniedzēju sniegtās informācijas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kompetencei veikt uzraugošās iestādes funkcijas, īstenojot tirgus uzraudzību saskaņā 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2007. gada 11. decembra Regulu (EK) Nr. 1523/2007, ar ko aizliedz laist tirgū un importēt Kopienā vai eksportēt no tās kaķu un suņu kažokādas un izstrādājumus no šādām kažokādām;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2020. gada 25. maija Regulu (ES)  </w:t>
      </w:r>
      <w:r w:rsidR="00000000" w:rsidRPr="00000000" w:rsidDel="00000000">
        <w:rPr>
          <w:rtl w:val="0"/>
        </w:rPr>
        <w:t xml:space="preserve">2020/740</w:t>
      </w:r>
      <w:r w:rsidR="00000000" w:rsidRPr="00000000" w:rsidDel="00000000">
        <w:rPr>
          <w:rtl w:val="0"/>
        </w:rPr>
        <w:t xml:space="preserve"> par riepu marķēšanu attiecībā uz degvielas patēriņa efektivitāti un citiem parametriem, ar ko groza Regulu (ES)  </w:t>
      </w:r>
      <w:r w:rsidR="00000000" w:rsidRPr="00000000" w:rsidDel="00000000">
        <w:rPr>
          <w:rtl w:val="0"/>
        </w:rPr>
        <w:t xml:space="preserve">2017/1369</w:t>
      </w:r>
      <w:r w:rsidR="00000000" w:rsidRPr="00000000" w:rsidDel="00000000">
        <w:rPr>
          <w:rtl w:val="0"/>
        </w:rPr>
        <w:t xml:space="preserve"> un atceļ Regulu (EK) Nr.  </w:t>
      </w:r>
      <w:r w:rsidR="00000000" w:rsidRPr="00000000" w:rsidDel="00000000">
        <w:rPr>
          <w:rtl w:val="0"/>
        </w:rPr>
        <w:t xml:space="preserve">1222/2009</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2011. gada 27. septembra Regulu (ES) Nr. 1007/2011 par tekstilšķiedru nosaukumiem un par tekstilizstrādājumu šķiedru sastāva etiķetēšanu un marķēšanu saistībā ar tiem, un par Padomes Direktīvas </w:t>
      </w:r>
      <w:r w:rsidR="00000000" w:rsidRPr="00000000" w:rsidDel="00000000">
        <w:rPr>
          <w:rtl w:val="0"/>
        </w:rPr>
        <w:t xml:space="preserve">73/44/EEK</w:t>
      </w:r>
      <w:r w:rsidR="00000000" w:rsidRPr="00000000" w:rsidDel="00000000">
        <w:rPr>
          <w:rtl w:val="0"/>
        </w:rPr>
        <w:t xml:space="preserve"> un Eiropas Parlamenta un Padomes Direktīvu </w:t>
      </w:r>
      <w:r w:rsidR="00000000" w:rsidRPr="00000000" w:rsidDel="00000000">
        <w:rPr>
          <w:rtl w:val="0"/>
        </w:rPr>
        <w:t xml:space="preserve">96/73/EK</w:t>
      </w:r>
      <w:r w:rsidR="00000000" w:rsidRPr="00000000" w:rsidDel="00000000">
        <w:rPr>
          <w:rtl w:val="0"/>
        </w:rPr>
        <w:t xml:space="preserve"> un </w:t>
      </w:r>
      <w:r w:rsidR="00000000" w:rsidRPr="00000000" w:rsidDel="00000000">
        <w:rPr>
          <w:rtl w:val="0"/>
        </w:rPr>
        <w:t xml:space="preserve">2008/121/EK</w:t>
      </w:r>
      <w:r w:rsidR="00000000" w:rsidRPr="00000000" w:rsidDel="00000000">
        <w:rPr>
          <w:rtl w:val="0"/>
        </w:rPr>
        <w:t xml:space="preserve"> atcelšanu;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2016. gada 9. marta Regulu (ES) 2016/424 par trošu ceļu iekārtām un ar ko atceļ Direktīvu </w:t>
      </w:r>
      <w:r w:rsidR="00000000" w:rsidRPr="00000000" w:rsidDel="00000000">
        <w:rPr>
          <w:rtl w:val="0"/>
        </w:rPr>
        <w:t xml:space="preserve">2000/9/EK</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2016. gada 9. marta Regulu (ES) 2016/425 par individuālajiem aizsardzības līdzekļiem un ar ko atceļ Padomes Direktīvu </w:t>
      </w:r>
      <w:r w:rsidR="00000000" w:rsidRPr="00000000" w:rsidDel="00000000">
        <w:rPr>
          <w:rtl w:val="0"/>
        </w:rPr>
        <w:t xml:space="preserve">89/686/EEK</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Parlamenta un Padomes 2016. gada 9. marta Regulu (ES) 2016/426 par gāzveida kurināmā iekārtām un ar ko atceļ Direktīvu </w:t>
      </w:r>
      <w:r w:rsidR="00000000" w:rsidRPr="00000000" w:rsidDel="00000000">
        <w:rPr>
          <w:rtl w:val="0"/>
        </w:rPr>
        <w:t xml:space="preserve">2009/142/EK</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Parlamenta un Padomes 2017. gada 4. jūlija Regulu (ES) 2017/1369, ar ko izveido energomarķējuma satvaru un atceļ Direktīvu </w:t>
      </w:r>
      <w:r w:rsidR="00000000" w:rsidRPr="00000000" w:rsidDel="00000000">
        <w:rPr>
          <w:rtl w:val="0"/>
        </w:rPr>
        <w:t xml:space="preserve">2010/30/ES</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Parlamenta un Padomes 2023. gada 14. jūnija Regulu (ES) 2023/1230 par mašīnām un ar ko atceļ Eiropas Parlamenta un Padomes Direktīvu </w:t>
      </w:r>
      <w:r w:rsidR="00000000" w:rsidRPr="00000000" w:rsidDel="00000000">
        <w:rPr>
          <w:rtl w:val="0"/>
        </w:rPr>
        <w:t xml:space="preserve">2006/42/EK</w:t>
      </w:r>
      <w:r w:rsidR="00000000" w:rsidRPr="00000000" w:rsidDel="00000000">
        <w:rPr>
          <w:rtl w:val="0"/>
        </w:rPr>
        <w:t xml:space="preserve"> un Padomes Direktīvu </w:t>
      </w:r>
      <w:r w:rsidR="00000000" w:rsidRPr="00000000" w:rsidDel="00000000">
        <w:rPr>
          <w:rtl w:val="0"/>
        </w:rPr>
        <w:t xml:space="preserve">73/361/EEK</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Parlamenta un Padomes 2023. gada 10. maija Regulu (ES) 2023/988 par ražojumu vispārēju drošumu, ar ko groza Eiropas Parlamenta un Padomes Regulu (ES) Nr. 1025/2012 un Eiropas Parlamenta un Padomes Direktīvu (ES) </w:t>
      </w:r>
      <w:r w:rsidR="00000000" w:rsidRPr="00000000" w:rsidDel="00000000">
        <w:rPr>
          <w:rtl w:val="0"/>
        </w:rPr>
        <w:t xml:space="preserve">2020/1828</w:t>
      </w:r>
      <w:r w:rsidR="00000000" w:rsidRPr="00000000" w:rsidDel="00000000">
        <w:rPr>
          <w:rtl w:val="0"/>
        </w:rPr>
        <w:t xml:space="preserve"> un atceļ Eiropas Parlamenta un Padomes Direktīvu </w:t>
      </w:r>
      <w:r w:rsidR="00000000" w:rsidRPr="00000000" w:rsidDel="00000000">
        <w:rPr>
          <w:rtl w:val="0"/>
        </w:rPr>
        <w:t xml:space="preserve">2001/95/EK</w:t>
      </w:r>
      <w:r w:rsidR="00000000" w:rsidRPr="00000000" w:rsidDel="00000000">
        <w:rPr>
          <w:rtl w:val="0"/>
        </w:rPr>
        <w:t xml:space="preserve"> un Padomes Direktīvu </w:t>
      </w:r>
      <w:r w:rsidR="00000000" w:rsidRPr="00000000" w:rsidDel="00000000">
        <w:rPr>
          <w:rtl w:val="0"/>
        </w:rPr>
        <w:t xml:space="preserve">87/357/EEK</w:t>
      </w:r>
      <w:r w:rsidR="00000000" w:rsidRPr="00000000" w:rsidDel="00000000">
        <w:rPr>
          <w:rtl w:val="0"/>
        </w:rPr>
        <w:t xml:space="preserve"> (turpmāk – regula 2023/988);</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Parlamenta un Padomes 2024. gada 13. jūnija Regulu (ES) 2024/1781, ar ko izveido satvaru ekodizaina prasību noteikšanai ilgtspējīgiem produktiem, groza Direktīvu (ES) </w:t>
      </w:r>
      <w:r w:rsidR="00000000" w:rsidRPr="00000000" w:rsidDel="00000000">
        <w:rPr>
          <w:rtl w:val="0"/>
        </w:rPr>
        <w:t xml:space="preserve">2020/1828</w:t>
      </w:r>
      <w:r w:rsidR="00000000" w:rsidRPr="00000000" w:rsidDel="00000000">
        <w:rPr>
          <w:rtl w:val="0"/>
        </w:rPr>
        <w:t xml:space="preserve"> un Regulu (ES) 2023/1542 un atceļ Direktīvu </w:t>
      </w:r>
      <w:r w:rsidR="00000000" w:rsidRPr="00000000" w:rsidDel="00000000">
        <w:rPr>
          <w:rtl w:val="0"/>
        </w:rPr>
        <w:t xml:space="preserve">2009/125/EK</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Parlamenta un Padomes 2024. gada 13. jūnija Regulu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uzraugot mākslīgā intelekta sistēmas precēs atbilstoši centra kompetencei Mākslīgā intelekta akta I pielikumā norādīto Savienības saskaņošanas tiesību aktu regulētajās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13.08.2024. noteikumiem Nr. 511);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pārbaudīt, vai pareizi tiek noteikts pārtikas un nepārtikas preču svars, mērs un pirkuma samaksa;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pārbaudīt, vai tiek ievērota preču un pakalpojumu cenu norādīšanas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konsultēt patērētājus par patērētāju tiesību aizsardzības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informēt ražotājus, importētājus, pilnvarotos pārstāvjus, izplatītājus, pakalpojumu sniedzējus, mērīšanas līdzekļu lietotājus un bīstamo iekārtu valdītājus par viņu pienākumiem normatīvajos aktos noteikto prasību izpildē;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piedalīties Eiropas Savienības </w:t>
      </w:r>
      <w:r w:rsidR="00000000" w:rsidRPr="00000000" w:rsidDel="00000000">
        <w:rPr>
          <w:i w:val="1"/>
          <w:rtl w:val="0"/>
        </w:rPr>
        <w:t xml:space="preserve">Safety Gate </w:t>
      </w:r>
      <w:r w:rsidR="00000000" w:rsidRPr="00000000" w:rsidDel="00000000">
        <w:rPr>
          <w:rtl w:val="0"/>
        </w:rPr>
        <w:t xml:space="preserve">ātrās brīdināšanas sistēmā, lai atbilstoši centra tirgus uzraudzības kompetencei sniegtu informāciju par Latvijas tirgū atklātajām bīstamajām precēm un pārbaudītu saņemto informāciju par bīstamām precēm, kā arī nodrošināt regulā 2023/988 noteiktās vienotā sadarbības biroja un </w:t>
      </w:r>
      <w:r w:rsidR="00000000" w:rsidRPr="00000000" w:rsidDel="00000000">
        <w:rPr>
          <w:i w:val="1"/>
          <w:rtl w:val="0"/>
        </w:rPr>
        <w:t xml:space="preserve">Safety Gate </w:t>
      </w:r>
      <w:r w:rsidR="00000000" w:rsidRPr="00000000" w:rsidDel="00000000">
        <w:rPr>
          <w:rtl w:val="0"/>
        </w:rPr>
        <w:t xml:space="preserve">ātrās brīdināšanas sistēmas nacionālā kontaktpunkta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izvērtēt reklāmas un komercprakses atbilstību normatīvajos aktos noteiktajām prasībām un pieņemt attiecīgus lēmumus;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izvērtēt komplekso tūrisma pakalpojumu sniegšanas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izvērtēt patērētājiem izteikto piedāvājumu, līgumu projektu, kā arī noslēgto līgumu un saistību izpildes atbilstību normatīvajos aktos noteiktajām prasībām un pieņemt attiecīgu lēmumu;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pārbaudīt, vai patērētāju noslēgtajos līgumos ir ietverta normatīvajos aktos noteiktā atteikuma tiesību paziņošanas un izmantošanas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uzraudzīt tirgū reglamentētajā sfērā piedāvāto mērīšanas līdzekļu atbilstību normatīvajos aktos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veikt lietošanā nodoto mērīšanas līdzekļu valsts metroloģisko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veikt fasēto preču metroloģisko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pildot Eiropas patērētāju palīdzības tīkla centra funkcijas Latvijā, apkopot informāciju un informēt patērētājus par patērētāju tiesībām Eiropas Savienības dalībvalstīs un par pārrobežu iepirkšanos, kā arī koordinēt jautājumu risināšanu par patērētāju pārrobežu sūdzībām Eiropas Savienībā;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uzraudzīt Eiropas Parlamenta un Padomes 2018. gada 28. februāra Regulas (ES) 2018/302, ar ko novērš nepamatotu ģeogrāfisko bloķēšanu un citus diskriminācijas veidus iekšējā tirgū klientu valstspiederības, dzīvesvietas vai uzņēmējdarbības veikšanas vietas dēļ un groza Regulas (EK) Nr. 2006/2004 un (ES) 2017/2394 un Direktīvu </w:t>
      </w:r>
      <w:r w:rsidR="00000000" w:rsidRPr="00000000" w:rsidDel="00000000">
        <w:rPr>
          <w:rtl w:val="0"/>
        </w:rPr>
        <w:t xml:space="preserve">2009/22/EK</w:t>
      </w:r>
      <w:r w:rsidR="00000000" w:rsidRPr="00000000" w:rsidDel="00000000">
        <w:rPr>
          <w:rtl w:val="0"/>
        </w:rPr>
        <w:t xml:space="preserve">, ievērošanu attiecībā uz patērētājiem;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atbilstoši prasībām, ko nosaka Eiropas Parlamenta un Padomes 2017. gada 12. decembra Regula (ES)  </w:t>
      </w:r>
      <w:r w:rsidR="00000000" w:rsidRPr="00000000" w:rsidDel="00000000">
        <w:rPr>
          <w:rtl w:val="0"/>
        </w:rPr>
        <w:t xml:space="preserve">2017/2394</w:t>
      </w:r>
      <w:r w:rsidR="00000000" w:rsidRPr="00000000" w:rsidDel="00000000">
        <w:rPr>
          <w:rtl w:val="0"/>
        </w:rPr>
        <w:t xml:space="preserve"> par sadarbību starp valstu iestādēm, kas atbild par tiesību aktu izpildi patērētāju tiesību aizsardzības jomā, un ar ko atceļ Regulu (EK) Nr.  </w:t>
      </w:r>
      <w:r w:rsidR="00000000" w:rsidRPr="00000000" w:rsidDel="00000000">
        <w:rPr>
          <w:rtl w:val="0"/>
        </w:rPr>
        <w:t xml:space="preserve">2006/2004</w:t>
      </w:r>
      <w:r w:rsidR="00000000" w:rsidRPr="00000000" w:rsidDel="00000000">
        <w:rPr>
          <w:rtl w:val="0"/>
        </w:rPr>
        <w:t xml:space="preserve">, veikt vienotajam sadarbības birojam un kompetentajai iestādei paredzētos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4.22.</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veikt vienotajam kontaktpunktam paredzētos uzdevumus saskaņā ar Patērētāju ārpustiesas strīdu risinātāju 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veikt Patērētāju strīdu risināšanas komisijas sekretariāta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atbilstoši kompetencei uzraudzīt Eiropas Parlamenta un Padomes 2017. gada 14. jūnija Regulas (ES)  </w:t>
      </w:r>
      <w:r w:rsidR="00000000" w:rsidRPr="00000000" w:rsidDel="00000000">
        <w:rPr>
          <w:rtl w:val="0"/>
        </w:rPr>
        <w:t xml:space="preserve">2017/1128</w:t>
      </w:r>
      <w:r w:rsidR="00000000" w:rsidRPr="00000000" w:rsidDel="00000000">
        <w:rPr>
          <w:rtl w:val="0"/>
        </w:rPr>
        <w:t xml:space="preserve"> par tiešsaistes satura pakalpojumu pārrobežu pārnesamību iekšējā tirgū ievērošanu attiecībā uz patērētājiem;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atbilstoši kompetencei un prasībām, ko nosaka Mākslīgā intelekta akts, veikt vienotajam kontaktpunktam un kompetentajai iestādei paredzētos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uzraudzīt un kontrolēt normatīvo aktu prasību ievērošanu bīstamo iekārtu uzraudzības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izmeklēt bīstamo iekārtu avārijas;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uzturēt bīstamo iekārtu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atbilstoši kompetencei piedalīties normatīvo aktu izstrādē darba grupās un sniegt priekšlikumus par normatīvo aktu izstrādi patērētāju tiesību aizsardzības, tirgus uzraudzības, bīstamo iekārtu uzraudzības un valsts metroloģiskās kontroles un uzraudzības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informēt valsts pārvaldes iestādi vai attiecīgo pašvaldību, ja konstatēts, ka amatpersonas nav ievērojušas likumu vai citu normatīvo aktu prasības bīstamo iekārtu uzraudzības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sadarboties ar starptautiskajām institūcijām un nevalstiskajām organizācijām, kas darbojas patērētāju tiesību aizsardzības, tirgus uzraudzības, reglamentētās metroloģijas un bīstamo iekārtu uzraudzības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pārstāvēt patērētāju intereses speciālajās komitejās un starpvalstu sadarbības tīklos;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veikt citus uzdevumus saskaņā ar normatīvajiem aktiem, kuri reglamentē patērētāju tiesību un interešu aizsardzību, tirgus uzraudzību, reklāmu, komercpraksi, informācijas sabiedrības pakalpojumus, metroloģiju un bīstamo iekārtu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10.11.2009. noteikumiem Nr. 1300; MK 27.10.2015. noteikumiem Nr. 606; MK 27.03.2018. noteikumiem Nr. 178; MK 05.11.2018. noteikumiem Nr. 670; MK 17.12.2019. noteikumiem Nr. 646; MK 12.05.2020. noteikumiem Nr. 282; MK 13.08.2024. noteikumiem Nr. 511; 4.3.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9. apakšpunkts stājas spēkā 13.12.2024., sk. 17.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Centra amatpersonas, darbinieki un tā darbības tiesiskuma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 darbu vada centra direktors. Centra direktors pilda Valsts pārvaldes iekārtas likumā noteiktās tiešās pārvaldes iestādes vadītāja funkcijas, kā arī nosaka centra struktūru, katras struktūrvienības funkcijas un padotību.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 amatpersonas atbilstoši kompetencei ir tiesīgas: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speciālas atļaujas, maksas un citiem ierobežojumiem netraucēti apmeklēt jebkuras ēkas, telpas, teritorijas un citas vietas, kur notiek preču ražošana vai lietu izgatavošana, uzglabāšana, tirdzniecība vai pakalpojumu sniegšana, kā arī vietas, kurās lieto vai, iespējams, lieto valsts metroloģiskajai kontrolei pakļautos mērīšanas līdzekļus un uzraudzībai un kontrolei pakļautās bīstamās iekārtas, un pildīt šajos noteikumos un citos normatīvajos aktos noteiktos uzdevumus patērētāju tiesību un interešu aizsardzības, tirgus uzraudzības, reglamentētās metroloģijas un bīstamo iekārtu uzraudzības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netraucēti veikt visas darbības, kas nepieciešamas kontroles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bez maksas saņemt no ražotājiem, pārdevējiem, pakalpo­jumu sniedzējiem, bīstamo iekārtu valdītājiem un mērīšanas līdzekļu lietotājiem vai to pilnvarotajiem pārstāvjiem, valsts un pašvaldību institūcijām, kā arī no fiziskajām un privāto tiesību juridiskajām personām centra uzdevumu veikšanai vai amatpersonas amata pienākumu pildīšanai nepieciešamo informāciju un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ražotājiem, pārdevējiem, pakalpojumu sniedzējiem, bīstamo iekārtu valdītājiem un mērīšanas līdzekļu lietotājiem vai to pilnvarotajiem pārstāvjiem, valsts un pašvaldību institūcijām, kā arī fiziskajām un privāto tiesību juridiskajām personām termiņu, kurā jāsniedz rakstiska atbilde, paskaidrojums vai informācija centram vai jānovērš konstatētie normatīvo aktu pārkāpumi;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sastādīt aktus par normatīvo aktu ievērošanu centra kompetencē esošajās jomās, veikt kontrolpirkumus un kontrolpasūtījumus, kā arī sastādīt administratīvo pārkāpumu protokolus, izskatīt administratīvo pārkāpumu lietas un uzlikt administratīvos sodus;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noteiktajā kārtībā pieprasīt un bez maksas saņemt preču paraugus laboratoriskas vai cita veida ekspertīzes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normatīvajos aktos noteiktajos gadījumos apturēt preču realizāciju vai pakalpojumu sniegšanu līdz testēšanas laboratorijas vai ekspertu atzinuma saņemšanai vai lēmuma pieņemšanai,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preci vai preces marķējums neatbilst normatīvajos aktos noteiktajām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prece nav nodrošināta ar atbilstības apliecinājumiem vai apstiprinājumiem vai rodas pamatotas aizdomas, ka prece nav nodrošināta ar atbilstības apliecinājumiem vai apstiprinājumiem;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rodas pamatotas aizdomas par preces vai pakalpojuma neatbilstību drošuma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fasēto preču faktiskā satura daudzums neatbilst normatīviem;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27.10.2015. noteikumiem Nr. 606)</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apturēt bīstamo iekārtu lietošanu, ja konstatēta neatbilstība normatīvo aktu prasībām, kuras dēļ var tikt apdraudēta cilvēku dzīvība un veselība, vide un materiālās 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pamatojoties uz testēšanas laboratorijas vai ekspertu atzinumu, informāciju, kas saņemta no informācijas ātrās apmaiņas sistēmas par bīstamajām precēm, vai centra amatpersonu lēmumu, aizliegt realizēt, pieprasīt izņemt no apgrozības preces vai pārtraukt pakalpojumu sniegšanu, ja tie neatbilst normatī­vajos aktos vai normatīvtehniskajos dokumentos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 lai ražotāji, pārdevēji, pakalpojumu sniedzēji, mērīšanas līdzekļu lietotāji un bīstamo iekārtu valdītāji nodrošina objekta vadītāja, objekta atbildīgās amatpersonas vai cita pārstāvja klātbūtni kontroles laikā, kā arī, ja nepieciešams, pieaicināt lieciniekus un veikt kontroli bez objekta pārstāvja klātbūtnes, ja ražotājs, pārdevējs, pakalpojumu sniedzējs, mērīšanas līdzekļu lietotājs vai bīstamo iekārtu valdītājs neizpilda minēto prasību;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pieprasīt, lai ražotāji, pārdevēji, pakalpojumu sniedzēji, mērīšanas līdzekļu lietotāji un bīstamo iekārtu valdītāji izpilda normatīvajos aktos noteiktās prasības un novērš neatbilstību;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izņemt preces un lietas, kuras ir administratīvā pārkāpuma priekšmets;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nepieciešams, pieaicināt tiesībaizsardzības iestāžu darbiniekus;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īstenot citas tiesības, kas noteiktas patērētāju tiesību un interešu aizsardzību, tirgus uzraudzību, bīstamo iekārtu uzraudzību un metroloģiju reglamentējošos normatīvajos aktos.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10.11.2009. noteikumiem Nr. 1300; MK 27.10.2015. noteikumiem Nr. 606; MK 27.03.2018. noteikumiem Nr. 178)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Centra amatpersonām aizliegts izpaust juridisko un fizisko personu komercnoslēpumus, kas tām kļuvuši zināmi, pildot dienesta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 amatpersona, pildot amata pienākumus ārpus darba (dienesta) telpām, uzrāda dienesta apliecību.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Centra amatpersonu izdotos administratīvos aktus var apstrīdēt, iesniedzot centra direktoram attiecīgu iesniegumu. Centra direktora izdotos administratīvos aktus var pārsūdzēt Administratīvajā rajona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10.11.2009. noteikumu Nr.1300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Centra amatpersonu faktisko rīcību var apstrīdēt, iesniedzot attiecīgu iesniegumu centra direktoram. Centra direktora faktisko rīcību var pārsūdzēt Administratīvajā rajona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27.03.2018. noteikumu Nr. 178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Pārskats par centra darbību un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Centrs ne retāk kā reizi gadā iesniedz Ekonomikas ministrijā pārskatu par centra funkciju izpildi un budžeta līdzekļu izlietojumu, kā arī normatīvajos aktos noteiktajā kārtībā sagatavo gada publisko pārskatu.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Centrs šo noteikumu </w:t>
      </w:r>
      <w:r w:rsidR="00000000" w:rsidRPr="00000000" w:rsidDel="00000000">
        <w:rPr>
          <w:rtl w:val="0"/>
        </w:rPr>
        <w:t xml:space="preserve">4.21.</w:t>
      </w:r>
      <w:r w:rsidR="00000000" w:rsidRPr="00000000" w:rsidDel="00000000">
        <w:rPr>
          <w:rtl w:val="0"/>
        </w:rPr>
        <w:t xml:space="preserve">apakšpunktā minēto funkciju nodrošināša­nai izmanto valsts budžeta līdzekļus - dotāciju no vispārējiem ieņēmumiem un no Eiropas Komisijas šim mērķim paredzētajiem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Centrs regulāri informē sabiedrību par patērētāju tiesībām, centra darbību un tās rezultātiem, izmantojot tiešu saziņu, mājas lapu internetā (www.ptac.gov.lv), informatīvus materiālus vai plašsaziņas līdzekļus.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27.03.2018. noteikumiem Nr. 178)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2004.gada 26.oktobra noteikumus Nr.889 "Patērē­tāju tiesību aizsardzības centra nolikums" (Latvijas Vēstnesis, 2004, 171.nr.; 2005, 63.nr.; 2006, 90.nr.);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2005.gada 8.marta noteikumus Nr.174 "Valsts metroloģiskās inspekcijas nolikums" (Latvijas Vēstnesis, 2005, 43.nr.).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4.3.</w:t>
      </w:r>
      <w:r w:rsidR="00000000" w:rsidRPr="00000000" w:rsidDel="00000000">
        <w:rPr>
          <w:vertAlign w:val="superscript"/>
          <w:rtl w:val="0"/>
        </w:rPr>
        <w:t xml:space="preserve">1 </w:t>
      </w:r>
      <w:r w:rsidR="00000000" w:rsidRPr="00000000" w:rsidDel="00000000">
        <w:rPr>
          <w:rtl w:val="0"/>
        </w:rPr>
        <w:t xml:space="preserve">4., 4.3.</w:t>
      </w:r>
      <w:r w:rsidR="00000000" w:rsidRPr="00000000" w:rsidDel="00000000">
        <w:rPr>
          <w:vertAlign w:val="superscript"/>
          <w:rtl w:val="0"/>
        </w:rPr>
        <w:t xml:space="preserve">1 </w:t>
      </w:r>
      <w:r w:rsidR="00000000" w:rsidRPr="00000000" w:rsidDel="00000000">
        <w:rPr>
          <w:rtl w:val="0"/>
        </w:rPr>
        <w:t xml:space="preserve">5. un 4.3.</w:t>
      </w:r>
      <w:r w:rsidR="00000000" w:rsidRPr="00000000" w:rsidDel="00000000">
        <w:rPr>
          <w:vertAlign w:val="superscript"/>
          <w:rtl w:val="0"/>
        </w:rPr>
        <w:t xml:space="preserve">1 </w:t>
      </w:r>
      <w:r w:rsidR="00000000" w:rsidRPr="00000000" w:rsidDel="00000000">
        <w:rPr>
          <w:rtl w:val="0"/>
        </w:rPr>
        <w:t xml:space="preserve">6. apakšpunkts stājas spēkā 2018. gada 21. aprīlī.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27.03.2018. noteikumu Nr. 178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vertAlign w:val="superscript"/>
          <w:rtl w:val="0"/>
        </w:rPr>
        <w:t xml:space="preserve">1</w:t>
      </w:r>
      <w:r w:rsidR="00000000" w:rsidRPr="00000000" w:rsidDel="00000000">
        <w:rPr>
          <w:rtl w:val="0"/>
        </w:rPr>
        <w:t xml:space="preserve"> apakšpunkts stājas spēkā 2018. gada 3. decembrī.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05.11.2018. noteikumu Nr. 670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apakšpunkts stājas spēkā 2024. gada 13. decembrī.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13.08.2024. noteikumu Nr. 511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25-TA-203</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25-TA-203</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noteikumu_konsolidētā_versija_25-TA-203.docx</dc:title>
</cp:coreProperties>
</file>

<file path=docProps/custom.xml><?xml version="1.0" encoding="utf-8"?>
<Properties xmlns="http://schemas.openxmlformats.org/officeDocument/2006/custom-properties" xmlns:vt="http://schemas.openxmlformats.org/officeDocument/2006/docPropsVTypes"/>
</file>