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9. maija noteikumos Nr. 253 "Atsevišķu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2. punktu un otrās daļas </w:t>
      </w:r>
      <w:r>
        <w:br/>
      </w:r>
      <w:r w:rsidR="00000000" w:rsidRPr="00000000" w:rsidDel="00000000">
        <w:rPr>
          <w:rStyle w:val="paragraph"/>
          <w:i w:val="1"/>
          <w:rtl w:val="0"/>
        </w:rPr>
        <w:t xml:space="preserve">5., 7. un 10.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9. maija noteikumos Nr. 253 "Atsevišķu inženierbūvju būvnoteikumi" (Latvijas Vēstnesis, 2017, 111. nr.; 2018, 128., 191. nr.; 2019, 235. nr.; 2021, 77., 236. nr.; 2022, 123. nr.; 2024, 211. nr.; 2025,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 Pirms inženierbūves pieņemšanas ekspluatācijā ierosināšanas veic inženierbūvē esošās telpas uzmērīšanu (ja šī telpa nav kadastrāli uzmērīta vai veikta šīs telpas pārbūve, izņemot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 un inženierbūves izpildmērījumu, izņemot šādus gadījumus: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146.1. inženierbūves atjaunošanas, konservācijas vai restaurācijas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146.2. nojaukšanas gadījumā, ja nav veikta līnijveida inženierbūves nojaukšana;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146.3. sezonas inženierbūves novietošanas vai ierīkošanas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146.4. atsevišķu labiekārtojuma elementu, stacionāra reklāmas, informācijas stenda vai avota kaptāžas jaunas būvniecības vai pārbūves gadījumā ārpus pilsētas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Īpašnieks vai, ja tāda nav, – tiesiskais valdītājs atbilstoši Nekustamā īpašuma valsts kadastra likumam pēc pirmās grupas inženierbūves, kura noteikta būvju klasifikācijā, pieņemšanas ekspluatācijā iesniedz Valsts zemes dienestā datu reģistrācijai vai aktualizācijai Nekustamā īpašuma valsts kadastra informācijas sistēmā paskaidrojuma rakstu un šo noteikumu 146. punktā minētajos gadījumos – izpildmērījuma plānu.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163.5.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"163.5. ēkas vai tās telpu grupas kadastrālās uzmērīšanas lietu, ja vienlaikus ar inženierbūvi ekspluatācijā tiek pieņemta ēka vai tās telpu grupa. Šā apakšpunkta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Īpašnieks vai, ja tāda nav, – tiesiskais valdītājs atbilstoši Nekustamā īpašuma valsts kadastra likumam pēc otrās vai trešās grupas inženierbūves, kura noteikta būvju klasifikācijā, pieņemšanas ekspluatācijā iesniedz Valsts zemes dienestā datu reģistrācijai vai aktualizācijai Nekustamā īpašuma valsts kadastra informācijas sistēmā aktu par inženierbūves pieņemšanu ekspluatācijā un šo noteikumu 146. punktā minētajos gadījumos – izpildmērījuma plānu, stāvu plānu un telpu grupas plānu.  Šā punkta prasību nepiemēro Būvniecības likuma 14. panta 1.</w:t>
      </w:r>
      <w:r w:rsidR="00000000" w:rsidRPr="00000000" w:rsidDel="00000000">
        <w:rPr>
          <w:vertAlign w:val="superscript"/>
          <w:rtl w:val="0"/>
        </w:rPr>
        <w:t xml:space="preserve">4</w:t>
      </w:r>
      <w:r w:rsidR="00000000" w:rsidRPr="00000000" w:rsidDel="00000000">
        <w:rPr>
          <w:rtl w:val="0"/>
        </w:rPr>
        <w:t xml:space="preserve"> daļā noteiktajā vienotā būves reģistrācijas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25-TA-1803</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25-TA-1803</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noteikumu_(grozījumu)_projekts_25-TA-1803.docx</dc:title>
</cp:coreProperties>
</file>

<file path=docProps/custom.xml><?xml version="1.0" encoding="utf-8"?>
<Properties xmlns="http://schemas.openxmlformats.org/officeDocument/2006/custom-properties" xmlns:vt="http://schemas.openxmlformats.org/officeDocument/2006/docPropsVTypes"/>
</file>