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jūlijā (prot. Nr. 29 44.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7. septembra noteikumos Nr. 606 "Ministru kabineta kārtības rullis"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Ministru kabineta iekārtas likuma</w:t>
      </w:r>
      <w:r>
        <w:br/>
      </w:r>
      <w:r w:rsidR="00000000" w:rsidRPr="00000000" w:rsidDel="00000000">
        <w:rPr>
          <w:rStyle w:val="paragraph"/>
          <w:i w:val="1"/>
          <w:rtl w:val="0"/>
        </w:rPr>
        <w:t xml:space="preserve">15. panta trešo un piekto daļu, 22. panta pirmo un otro daļu,</w:t>
      </w:r>
      <w:r>
        <w:br/>
      </w:r>
      <w:r w:rsidR="00000000" w:rsidRPr="00000000" w:rsidDel="00000000">
        <w:rPr>
          <w:rStyle w:val="paragraph"/>
          <w:i w:val="1"/>
          <w:rtl w:val="0"/>
        </w:rPr>
        <w:t xml:space="preserve">27. panta otro daļu, 28. panta sesto daļu un 29. panta otro daļu un</w:t>
      </w:r>
      <w:r>
        <w:br/>
      </w:r>
      <w:r w:rsidR="00000000" w:rsidRPr="00000000" w:rsidDel="00000000">
        <w:rPr>
          <w:rStyle w:val="paragraph"/>
          <w:i w:val="1"/>
          <w:rtl w:val="0"/>
        </w:rPr>
        <w:t xml:space="preserve">Attīstības plānošanas sistēmas likuma</w:t>
      </w:r>
      <w:r w:rsidR="00000000" w:rsidRPr="00000000" w:rsidDel="00000000">
        <w:rPr>
          <w:rStyle w:val="paragraph"/>
          <w:i w:val="1"/>
          <w:rtl w:val="0"/>
        </w:rPr>
        <w:t xml:space="preserve"> 11.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7. septembra noteikumos Nr. 606 "Ministru kabineta kārtības rullis" (Latvijas Vēstnesis, 2021, 173A. nr.; 2023, 15., 163. nr.; 2025, 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Ministru kabineta sēžu, Ministru kabineta krīzes vadības sēžu (turpmāk kopā – Ministru kabineta sēde) un Ministru kabineta komitejas sēžu sagatavošanas un norises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Sēdes darba kārtība pēc apstiprināšanas ir pieejama TAP portālā, un par to TAP portāla lietotājiem tiek nosūtīts automātisks sistēmas paziņojums. Šis paziņojums vienlaikus ir arī uzaicinājums dalībai sēdē normatīvajos aktos un darba kārtībā minētajām amatpersonām."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Ministru kabineta loceklis Ministru kabineta sēdē pieņemtos projektus paraksta ar drošu elektronisko parakstu vai ar sistēmas rīku;".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52.2.1.3.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"52.2.1.3. ja projekts attiecas uz valsts apdraudējuma situāciju novēršanas un pārvarēšanas pasākumiem un to vadību, kā arī uz krīzes vadību;".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"113.3. projektus, kas iesniegti saistībā ar ārkārtējās situācijas vai izņēmuma stāvokļa noteikšanu valstī (saskaņā ar likumu "Par ārkārtējo situāciju un izņēmuma stāvokli") vai skar valsts apdraudējuma situāciju novēršanas un pārvarēšanas jautājumus, kā arī krīzes vadības jautājumus;".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Ministru kabineta sēdē lēmumus pieņem Ministru kabineta iekārtas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148.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vertAlign w:val="superscript"/>
          <w:rtl w:val="0"/>
        </w:rPr>
        <w:t xml:space="preserve">1</w:t>
      </w:r>
      <w:r w:rsidR="00000000" w:rsidRPr="00000000" w:rsidDel="00000000">
        <w:rPr>
          <w:rtl w:val="0"/>
        </w:rPr>
        <w:t xml:space="preserve"> Personu dalībai Ministru kabineta krīzes vadības sēdē piesaka Ministru kabineta loceklis vai Valsts kancelejas Krīzes vadības centra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"149. Attiecīgās ministrijas, iestādes, valdības sociālā partnera vai nevalstiskās organizācijas norīkota persona dalībai sēdē pieteiktās personas ieraksta TAP portālā pie attiecīgā sēdes jautājuma ne vēlāk kā darbdienu pirms sēdes, norādot pieteiktās personas vārdu, uzvārdu, amatu, e-pasta adresi. Steidzamības kārtībā iesniegto jautājumu izskatīšanai personas var pieteikt līdz Ministru kabineta sēdes sākumam."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"189. Ministru kabineta sēdē atbalstītos (pieņemtos) Saeimas lēmumprojektus, likumprojektus, noteikumus, ieteikumus, instrukcijas, Latvijas Republikas tiesā iesniedzamos Ministru kabineta dokumentus, Ministru kabineta vēstules un Ministru kabineta rīkojumus paraksta ar drošu elektronisko parakstu vai ar sistēmas rīku."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190.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"190. Ministru kabineta sēžu protokolus Valsts kancelejas direktors un sēdes vadītājs paraksta ar drošu elektronisko parakstu vai ar sistēmas rīku."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25-TA-1577</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25-TA-1577</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noteikumu_(grozījumu)_projekts_25-TA-1577.docx</dc:title>
</cp:coreProperties>
</file>

<file path=docProps/custom.xml><?xml version="1.0" encoding="utf-8"?>
<Properties xmlns="http://schemas.openxmlformats.org/officeDocument/2006/custom-properties" xmlns:vt="http://schemas.openxmlformats.org/officeDocument/2006/docPropsVTypes"/>
</file>