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(Latvijas Vēstnesis, 2023, 136. nr.; 2024, 13.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mērķis –  ne mazāk kā 21 pabeigts investīciju projekts. Investīciju projektu skaits var būt lielāks, bet visu projektu kopējais finansējuma apmērs nedrīkst pārsniegt saskaņā ar šo noteikumu 11. punktu investīcijai piešķirto finansējumu."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noteikumu_(grozījumu)_projekts_25-TA-11.docx</dc:title>
</cp:coreProperties>
</file>

<file path=docProps/custom.xml><?xml version="1.0" encoding="utf-8"?>
<Properties xmlns="http://schemas.openxmlformats.org/officeDocument/2006/custom-properties" xmlns:vt="http://schemas.openxmlformats.org/officeDocument/2006/docPropsVTypes"/>
</file>