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jūlijā (prot. Nr. 30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508 200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 lai nodrošinātu ārējo automātisko defibrilatoru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2024. gadam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24-TA-1329</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24-TA-1329</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rīkojuma_projekts_24-TA-1329.docx</dc:title>
</cp:coreProperties>
</file>

<file path=docProps/custom.xml><?xml version="1.0" encoding="utf-8"?>
<Properties xmlns="http://schemas.openxmlformats.org/officeDocument/2006/custom-properties" xmlns:vt="http://schemas.openxmlformats.org/officeDocument/2006/docPropsVTypes"/>
</file>