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 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"Ilgtspējīga transporta sistēma" 6.1.3. specifiskā atbalsta mērķa "Nodrošināt nepieciešamo infrastruktūru uz Rīgas maģistrālajiem pārvadiem un novērst maģistrālo ielu fragmentāro raksturu" (turpmāk – specifiskais atbalsta mērķis) 6.1.3.1. pasākumu "Rīgas pilsētas integrētas transporta sistēmas attīstība" (turpmāk – pasākums) un tā ietvaros apstiprinātos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par projekta īstenošanu (turpmāk – vienošanās) vienpusējā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samazināt sastrēgumus uz Rīgas maģistrālajiem pārvadiem un novērst infrastruktūras pārrāvumus esošo pilsētas maģistrālo ielu tīklā.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satiksmes dalībnieki, komersanti un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mērķa un 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specifiskā atbalsta mērķa ietvaros līdz 2023. gada 31. decembrim sasniedzams specifiskā atbalsta mērķa rezultāta rādītājs – vidējais transportlīdzekļa aizkavējuma laiks samazināts no 23,83 līdz 15,77 minūtēm;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 rekonstruēto vai izbūvēto tiltu, pārvadu un tuneļu kopējais garums ir 4,532 km;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2018. gada 31. decembrim – rekonstruēto vai izbūvēto tiltu, pārvadu un tuneļu kopējais garums ir 1,035 km;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rādītājs – līdz 2018. gada 31. decembrim sertificēti izdevumi vismaz 24 085 192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10.08.2021. noteikumiem Nr. 532)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Satiksmes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125 674 487 </w:t>
      </w:r>
      <w:r w:rsidR="00000000" w:rsidRPr="00000000" w:rsidDel="00000000">
        <w:rPr>
          <w:i w:val="1"/>
          <w:rtl w:val="0"/>
        </w:rPr>
        <w:t xml:space="preserve">euro</w:t>
      </w:r>
      <w:r w:rsidR="00000000" w:rsidRPr="00000000" w:rsidDel="00000000">
        <w:rPr>
          <w:rtl w:val="0"/>
        </w:rPr>
        <w:t xml:space="preserve">, tai skaitā Kohēzijas fonda finansējums – 106 823 313 </w:t>
      </w:r>
      <w:r w:rsidR="00000000" w:rsidRPr="00000000" w:rsidDel="00000000">
        <w:rPr>
          <w:i w:val="1"/>
          <w:rtl w:val="0"/>
        </w:rPr>
        <w:t xml:space="preserve">euro</w:t>
      </w:r>
      <w:r w:rsidR="00000000" w:rsidRPr="00000000" w:rsidDel="00000000">
        <w:rPr>
          <w:rtl w:val="0"/>
        </w:rPr>
        <w:t xml:space="preserve"> un nacionālais finansējums (pašvaldību finansējums, valsts budžeta dotācija pašvaldībām) – vismaz 18 851 174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iesniedzēja līdzfinansējumā paredz valsts budžeta dotāciju atbilstoši normatīvajiem aktiem par valsts budžeta dotācijas piešķiršanu pašvaldībām Eiropas Savienības struktūrfondu un Kohēzijas fonda 2014.–2020. gada plānošanas periodā līdzfinansēto projektu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Kohēzijas fonda finansējuma apmērs ir 85 %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10.08.2021. noteikumiem Nr. 532)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Rīgas pilsētas pašvaldība.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sagatavo un iesniedz sadarbības iestādei projekta iesniegumu saskaņā ar projekta iesniegumu atlases nolikuma prasībām. Projekta iesniegumam pievieno veikto izmaksu un ieguvumu analīzi. Projekta iesniegumu sadarbības iestādē iesniedz elektroniski, izmantojot Kohēzijas politikas fondu vadības informācijas sistēmu 2014.–2020. gadam.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atbalstāmās darbības ir Rīgas pilsētas transporta infrastruktūras izbūve, pārbūve un atjaunošana, nodrošinot integrētas transporta sistēmas veidošanu un pilsētas centrālās daļas atbrīvošanu no tranzīta satiksmes, mazinot maģistrālo ielu fragmentāro raksturu, uzlabojot transporta infrastruktūras tehniskos parametrus un satiksmes drošību.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 šādas 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tiesību aktos noteiktās piemaksas un nodokļus,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projekta tiešās attiecināmās izmaksas ir 5 000 000 </w:t>
      </w:r>
      <w:r w:rsidR="00000000" w:rsidRPr="00000000" w:rsidDel="00000000">
        <w:rPr>
          <w:i w:val="1"/>
          <w:rtl w:val="0"/>
        </w:rPr>
        <w:t xml:space="preserve">euro</w:t>
      </w:r>
      <w:r w:rsidR="00000000" w:rsidRPr="00000000" w:rsidDel="00000000">
        <w:rPr>
          <w:rtl w:val="0"/>
        </w:rPr>
        <w:t xml:space="preserve"> vai lielākas;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mazāka kā 30 %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pamatojošās dokumentācijas sagatavošanas izmaksas, tai skaitā izmaksu un ieguvumu analīzes izstrādes izmaksas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vides aizsardzības obligāto prasību nodrošināšanai, tostarp ietekmes uz vidi novērtējuma izmaksas, ciktāl to paredz normatīvo aktu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iegādes izmaksas, ja zemes iegāde ir tieši nepieciešama projektā paredzētās būvniecības īstenošanai (ne vairāk kā 10 % no attiecināmo izmaksu kopsummas);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būvlaukuma ierīkošanas un novākšanas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tiltu, satiksmes pārvadu, tuneļu (turpmāk – transportbūves) un ielu būvniecības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apbraucamo ielu būvniecības, nojaukšanas un uzturēšanas izmaksas transportbūvju un ielu būvniecības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velosipēdistu un gājēju ceļiem saistītās izmaksas, lai novērstu infrastruktūras pārrāvumus, ar nosacījumu, ka minētajām darbībām nav nepieciešama zemes iegāde un tās nedalāmi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labiekārtošanas izmaksas, tai skaitā autobusu pieturvietu, apgaismojuma līniju, lietusūdens savākšanas un attīrīšanas iekārtu izbūve, apzaļumošana atbilstoši būvprojekta risinājumam;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ceļu satiksmes organizācijas tehnisko līdzekļu (piemēram, ceļa zīmes, luksofori, signālstabiņi, aizsargbarjeras, gājēju barjeras, vertikālie un horizontālie ceļa apzīmējumi)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satiksmes vadības aprīkojuma (piemēram, meteoroloģiskās stacijas un satiksmes uzskaites punkti, kas nepieciešami konkrētās transportbūves un ielu posma seguma stāvokļa un slodzes noteikšanai)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transportbūvju un ielu kompleksam piegulošo inženiertīklu būvniecības izmaksas ne vairāk kā 10 % apmērā no projekta attiecināmo izmaksu kopsummas. Izmaksas attiecināmas tikai gadījumā, ja tiek nodrošināts sertificēta būvinženiera ekspertīzes atzinums,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īpašniekiem;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ceļu drošības 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būvprojekta izstrādes un ar to saistīto būvekspertīžu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būvuzraudzības un autoruzraudzības izmaksas un normatīvajos aktos noteiktās attiecīgo būvspeciālistu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izdevumi neparedzētu izmaksu segšanai ne vairāk kā 5 % apmērā no kopējo tiešo attiecināmo izmaksu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14.12. </w:t>
      </w:r>
      <w:r w:rsidR="00000000" w:rsidRPr="00000000" w:rsidDel="00000000">
        <w:rPr>
          <w:rtl w:val="0"/>
        </w:rPr>
        <w:t xml:space="preserve">apakšpunktā</w:t>
      </w:r>
      <w:r w:rsidR="00000000" w:rsidRPr="00000000" w:rsidDel="00000000">
        <w:rPr>
          <w:rtl w:val="0"/>
        </w:rPr>
        <w:t xml:space="preserve"> minēto transportbūvju un ielu kompleksam piegulošo inženiertīklu būvniecības attiecināmo izmaksu summas ierobežojumi netiek piemēroti projektam, kas saistīts ar Brasas pārvada izbūvi.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14.13.</w:t>
      </w:r>
      <w:r w:rsidR="00000000" w:rsidRPr="00000000" w:rsidDel="00000000">
        <w:rPr>
          <w:rtl w:val="0"/>
        </w:rPr>
        <w:t xml:space="preserve">, </w:t>
      </w:r>
      <w:r w:rsidR="00000000" w:rsidRPr="00000000" w:rsidDel="00000000">
        <w:rPr>
          <w:rtl w:val="0"/>
        </w:rPr>
        <w:t xml:space="preserve">14.14.</w:t>
      </w:r>
      <w:r w:rsidR="00000000" w:rsidRPr="00000000" w:rsidDel="00000000">
        <w:rPr>
          <w:rtl w:val="0"/>
        </w:rPr>
        <w:t xml:space="preserve"> un </w:t>
      </w:r>
      <w:r w:rsidR="00000000" w:rsidRPr="00000000" w:rsidDel="00000000">
        <w:rPr>
          <w:rtl w:val="0"/>
        </w:rPr>
        <w:t xml:space="preserve">14.15.</w:t>
      </w:r>
      <w:r w:rsidR="00000000" w:rsidRPr="00000000" w:rsidDel="00000000">
        <w:rPr>
          <w:rtl w:val="0"/>
        </w:rPr>
        <w:t xml:space="preserve"> apakšpunktā minētās izmaksas kopā nepārsniedz 10 % no projekta būvdarbu līguma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14.15.</w:t>
      </w:r>
      <w:r w:rsidR="00000000" w:rsidRPr="00000000" w:rsidDel="00000000">
        <w:rPr>
          <w:rtl w:val="0"/>
        </w:rPr>
        <w:t xml:space="preserve"> apakšpunktā minētās izmaksas kopā nepārsniedz 10 % no projekta kopējām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17.05.2016. noteikumiem Nr. 311)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Īstenojot pasākumu, ir atbalstāma vides nosacījumu integrācija preču un pakalpojumu un būvniecības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Īstenojot pasākumu, ir atbalstāmas personu ar invaliditāti intereses pārstāvošo nevalstisko organizāciju ekspertu konsultācijas, tās paredzot projektēšanas vai būvniecības līgumu/izmaksu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14.</w:t>
      </w:r>
      <w:r w:rsidR="00000000" w:rsidRPr="00000000" w:rsidDel="00000000">
        <w:rPr>
          <w:rtl w:val="0"/>
        </w:rPr>
        <w:t xml:space="preserve"> punktā minētajām izmaksu pozīcijām ir attiecināmās izmaksas, ja tās nav atmaksājamas nodokļu politiku reglamentējošos normatīvajos aktos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netiešās attiecināmās izmaksas plāno kā vienu izmaksu pozīciju 15 % apmērā no šo noteikumu </w:t>
      </w:r>
      <w:r w:rsidR="00000000" w:rsidRPr="00000000" w:rsidDel="00000000">
        <w:rPr>
          <w:rtl w:val="0"/>
        </w:rPr>
        <w:t xml:space="preserve">14.1.</w:t>
      </w:r>
      <w:r w:rsidR="00000000" w:rsidRPr="00000000" w:rsidDel="00000000">
        <w:rPr>
          <w:rtl w:val="0"/>
        </w:rPr>
        <w:t xml:space="preserve"> apakšpunktā noteiktajām izmaksām, kas radušās uz darba līguma pamata, un tām piemēro vienotās likmes metodi, neiesniedzot sadarbības iestādei izmaksu pamatojošos dokumentus par netiešo izmaksu izlietojumu.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atbalstāmo darbību ietvaros radušās izmaksas ir attiecināmās izmaksas finansēšanai no Kohēzijas fonda finansējuma, ja tās atbilst šo noteikumu </w:t>
      </w:r>
      <w:r w:rsidR="00000000" w:rsidRPr="00000000" w:rsidDel="00000000">
        <w:rPr>
          <w:rtl w:val="0"/>
        </w:rPr>
        <w:t xml:space="preserve">14.</w:t>
      </w:r>
      <w:r w:rsidR="00000000" w:rsidRPr="00000000" w:rsidDel="00000000">
        <w:rPr>
          <w:rtl w:val="0"/>
        </w:rPr>
        <w:t xml:space="preserve"> punktā minētajām izmaksu pozīcijām un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14.12.</w:t>
      </w:r>
      <w:r w:rsidR="00000000" w:rsidRPr="00000000" w:rsidDel="00000000">
        <w:rPr>
          <w:rtl w:val="0"/>
        </w:rPr>
        <w:t xml:space="preserve">, </w:t>
      </w:r>
      <w:r w:rsidR="00000000" w:rsidRPr="00000000" w:rsidDel="00000000">
        <w:rPr>
          <w:rtl w:val="0"/>
        </w:rPr>
        <w:t xml:space="preserve">14.17.</w:t>
      </w:r>
      <w:r w:rsidR="00000000" w:rsidRPr="00000000" w:rsidDel="00000000">
        <w:rPr>
          <w:rtl w:val="0"/>
        </w:rPr>
        <w:t xml:space="preserve"> apakšpunktā un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punktā noteiktajiem ierobežojumiem, un ir radušās ne agrāk kā 2014. gada 1. janvārī.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neattiecināmās izmaksas, kuras finansējuma saņēmējs sedz no saviem līdzekļiem,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pārsniedz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14.12.</w:t>
      </w:r>
      <w:r w:rsidR="00000000" w:rsidRPr="00000000" w:rsidDel="00000000">
        <w:rPr>
          <w:rtl w:val="0"/>
        </w:rPr>
        <w:t xml:space="preserve">, </w:t>
      </w:r>
      <w:r w:rsidR="00000000" w:rsidRPr="00000000" w:rsidDel="00000000">
        <w:rPr>
          <w:rtl w:val="0"/>
        </w:rPr>
        <w:t xml:space="preserve">14.17.</w:t>
      </w:r>
      <w:r w:rsidR="00000000" w:rsidRPr="00000000" w:rsidDel="00000000">
        <w:rPr>
          <w:rtl w:val="0"/>
        </w:rPr>
        <w:t xml:space="preserve"> apakšpunktā un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punktā minētos izmaksu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pārsniedz šo noteikumu </w:t>
      </w:r>
      <w:r w:rsidR="00000000" w:rsidRPr="00000000" w:rsidDel="00000000">
        <w:rPr>
          <w:rtl w:val="0"/>
        </w:rPr>
        <w:t xml:space="preserve">7.</w:t>
      </w:r>
      <w:r w:rsidR="00000000" w:rsidRPr="00000000" w:rsidDel="00000000">
        <w:rPr>
          <w:rtl w:val="0"/>
        </w:rPr>
        <w:t xml:space="preserve"> punktā noteikto kopējo attiecināmo izmaksu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10.08.2021. noteikumiem Nr. 532)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izmaksu pieauguma gadījumā sedz projekta sadārdzinājumu no saviem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projekta ietekmi uz šo noteikumu </w:t>
      </w:r>
      <w:r w:rsidR="00000000" w:rsidRPr="00000000" w:rsidDel="00000000">
        <w:rPr>
          <w:rtl w:val="0"/>
        </w:rPr>
        <w:t xml:space="preserve">4.1.</w:t>
      </w:r>
      <w:r w:rsidR="00000000" w:rsidRPr="00000000" w:rsidDel="00000000">
        <w:rPr>
          <w:rtl w:val="0"/>
        </w:rPr>
        <w:t xml:space="preserve"> apakšpunktā minēto rādītāju un nodrošina vienotu metodoloģiju rādītāja uzskaitei projektos;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projekta ietekmi uz rādītāju "kopējais negadījumu skaita samazinājums rekonstruētajos (pārbūvētajos) ceļu posmos" gadu pēc posma nodošanas ekspluatācijā;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sasniegto rezultātu ilgtspēju vismaz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projekta īstenošanas rezultātā radīto vērtību uzturēšanu, savlaicīgi plānojot uzturēšanu un nodilušo konstrukciju periodisku atjaunošanu un piešķirot šiem darbiem finansējumu turpmākos 20 gadus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ka projekta īstenošanas laikā nekustamie īpašumi, kuri nepieciešami projekta īstenošanai, ir finansējuma saņēmēja īpašumā, vai arī būvniecības iecere ir saskaņota ar projekta īstenošanai nepieciešamo nekustamo īpašumu īpašniekiem atbilstoši normatīvo aktu nosacījumiem būvniecības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īstenošanas vieta ir Rīga.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Sadarbības iestāde, pamatojoties uz finansējuma saņēmēja rakstisku avansa pieprasījumu, nodrošina finansējuma saņēmējam avansa maksājumus, nepārsniedzot 90 % no projektam piešķirtā Kohēzijas fonda finansējuma un valsts budžeta dotācijas pašvaldībām kopsummas.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tai skaitā netiek ievēroti projektā noteiktie termiņi vai ir iestājušies citi apstākļi, kas negatīvi ietekmē vai var ietekmēt pasākuma iznākuma un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paredz vienošanās.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projektu īsteno saskaņā ar vienošanos, bet ne ilgāk kā līdz 2023.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22-TA-3697</w:t>
    </w:r>
    <w:r>
      <w:br/>
    </w:r>
    <w:r w:rsidR="00000000" w:rsidRPr="00000000" w:rsidDel="00000000">
      <w:rPr>
        <w:rtl w:val="0"/>
      </w:rPr>
      <w:t xml:space="preserve">Izdrukāts 29.07.2026. 21.08 - 1.0.VK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22-TA-3697</w:t>
    </w:r>
    <w:r>
      <w:br/>
    </w:r>
    <w:r w:rsidR="00000000" w:rsidRPr="00000000" w:rsidDel="00000000">
      <w:rPr>
        <w:rtl w:val="0"/>
      </w:rPr>
      <w:t xml:space="preserve">Izdrukāts 29.07.2026. 21.08 - 1.0.VK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noteikumu_konsolidētā_versija_22-TA-3697.docx</dc:title>
</cp:coreProperties>
</file>

<file path=docProps/custom.xml><?xml version="1.0" encoding="utf-8"?>
<Properties xmlns="http://schemas.openxmlformats.org/officeDocument/2006/custom-properties" xmlns:vt="http://schemas.openxmlformats.org/officeDocument/2006/docPropsVTypes"/>
</file>