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Izglītības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 panta 19. punktu un </w:t>
      </w:r>
      <w:r w:rsidR="00000000" w:rsidRPr="00000000" w:rsidDel="00000000">
        <w:rPr>
          <w:rStyle w:val="paragraph"/>
          <w:i w:val="1"/>
          <w:rtl w:val="0"/>
        </w:rPr>
        <w:t xml:space="preserve">Vispārējās izglītības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 panta 11. un 11.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2019. gada 3. septembra noteikumos Nr. 416 "Noteikumi par valsts vispārējās vidējās izglītības standartu un vispārējās vidējās izglītības programmu paraugiem" (Latvijas Vēstnesis, 2019, 197. nr.; 2021, 21.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 Valsts noteiktajā pārbaudes darbā skolēna mācību sasnieguma vērtējumu izsaka procentos no maksimāli iespējamā punktu skaita attiecīgajā pārbaudes darbā.";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Valsts noteiktajā pārbaudes darbā vērtējums nav iegūts, ja darba kopvērtējums ir mazāks nekā 20 procenti.";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Šo noteikumu 21.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punkts stājas spēkā 2024. gada 1. septembrī. Līdz minētajam datumam valsts pārbaudes darbā vērtējums nav iegūts, ja darba kopvērtējums: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 2022./2023.mācību gadā ir mazāks nekā 10 procenti;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2023./2024. mācību gadā ir mazāks nekā 15 procenti."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2022. gada 1. septembrī.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22-TA-542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22-TA-542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