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Valsts kancelejai finansējumu ne vairāk kā 64 847 </w:t>
      </w:r>
      <w:r w:rsidR="00000000" w:rsidRPr="00000000" w:rsidDel="00000000">
        <w:rPr>
          <w:i w:val="1"/>
          <w:rtl w:val="0"/>
        </w:rPr>
        <w:t xml:space="preserve">euro </w:t>
      </w:r>
      <w:r w:rsidR="00000000" w:rsidRPr="00000000" w:rsidDel="00000000">
        <w:rPr>
          <w:rtl w:val="0"/>
        </w:rPr>
        <w:t xml:space="preserve">apmērā, lai segtu vienotā informatīvā tālruņa 8345 izdevumus, kas radušies, informējot personas par Latvijā noteiktajiem Covid-19 epidemioloģiskās drošības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normatīvajos aktos noteiktajā kārtībā pieprasījumu par šā rīkojuma 1. punktā minēto finansējumu atbilstoši faktiski nepieciešamajam izdevumu apmēram iesniegt Finanšu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22-TA-94</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22-TA-94</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rīkojuma_projekts_22-TA-94.docx</dc:title>
</cp:coreProperties>
</file>

<file path=docProps/custom.xml><?xml version="1.0" encoding="utf-8"?>
<Properties xmlns="http://schemas.openxmlformats.org/officeDocument/2006/custom-properties" xmlns:vt="http://schemas.openxmlformats.org/officeDocument/2006/docPropsVTypes"/>
</file>