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2021.–2027.gadam 2.1 prioritātes "Klimata pārmaiņu mazināšana un pielāgošanās klimata pārmaiņām"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2021.–2027.gadam 2.1 prioritātes " Klimata pārmaiņu mazināšana un pielāgošanās klimata pārmaiņām " 2.1.1. specifiskā atbalsta mērķa "Energoefektivitātes veicināšana un siltumnīcefekta gāzu emisiju samazināšana"  2.1.1.4. pasākumu "Energoefektivitātes paaugstināšana valsts ēkās" (turpmāk – pasākums 2.1.1.4.) un 2.1.1.7.  pasākumu "Valsts iestāžu  infrastruktūras optimizācija " (turpmāk – pasākums 2.1.1.7.) (turpmāk abi kopā –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pasākumiem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sadarbības partnerim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pasākumos 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2.1.1.4. mērķis ir energoefektivitātes uzlabošanas, viedas energovadības un atjaunojamo energoresursu izmantošanas pasākumi valsts un valsts kapitālsabiedrību īpašumā esošajās ēkās, veicinot virzību uz nulles enerģijas ēkām.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2.1.1.7. mērķis ir energoefektivitātes uzlabošanas, viedas energovadības un atjaunojamo energoresursu izmantošanas pasākumi zinātnisko institūciju un augstskolu īpašumā esošajās ēkās, veicinot virzību uz nulles enerģijas ēkām.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Pasākumu ietvaros atbildīgās iestādes funkcijas pilda Ekonomikas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Atbalsts pasākumu ietvaros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ietvaros ir sasniedzami šādi uzraudzības rādītāji un to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2029. gada 31. decembrim pasākumu ietvaros sasniedzamais rezultāta rādītājs – vismaz 30 % primārās enerģijas ietaupījumu no attiecīgās pasākumu ietvaros atbalstītās ēkas primārās enerģijas patēriņa pirms projekta uzsākšanas;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2.1.1.4. ietvaros līdz 2029. gada 31. decembrim sasniedzamie 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atbalstīto valsts ēku platība – vismaz 508 786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primārās enerģijas gada patēriņa samazinājums – vismaz  49 861 028 kWh/gadā;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Pieejamais kopējais publiskais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pasākumam 2.1.1.4. sastāda 101 696 160 </w:t>
      </w:r>
      <w:r w:rsidR="00000000" w:rsidRPr="00000000" w:rsidDel="00000000">
        <w:rPr>
          <w:i w:val="1"/>
          <w:rtl w:val="0"/>
        </w:rPr>
        <w:t xml:space="preserve">euro</w:t>
      </w:r>
      <w:r w:rsidR="00000000" w:rsidRPr="00000000" w:rsidDel="00000000">
        <w:rPr>
          <w:rtl w:val="0"/>
        </w:rPr>
        <w:t xml:space="preserve"> (no tā elastības finansējuma apjoms – 14 040 058 </w:t>
      </w:r>
      <w:r w:rsidR="00000000" w:rsidRPr="00000000" w:rsidDel="00000000">
        <w:rPr>
          <w:i w:val="1"/>
          <w:rtl w:val="0"/>
        </w:rPr>
        <w:t xml:space="preserve">euro</w:t>
      </w:r>
      <w:r w:rsidR="00000000" w:rsidRPr="00000000" w:rsidDel="00000000">
        <w:rPr>
          <w:rtl w:val="0"/>
        </w:rPr>
        <w:t xml:space="preserve">), tai skaitā Eiropas Reģionālās attīstības fonda finansējums 86 441 736 </w:t>
      </w:r>
      <w:r w:rsidR="00000000" w:rsidRPr="00000000" w:rsidDel="00000000">
        <w:rPr>
          <w:i w:val="1"/>
          <w:rtl w:val="0"/>
        </w:rPr>
        <w:t xml:space="preserve">euro </w:t>
      </w:r>
      <w:r w:rsidR="00000000" w:rsidRPr="00000000" w:rsidDel="00000000">
        <w:rPr>
          <w:rtl w:val="0"/>
        </w:rPr>
        <w:t xml:space="preserve">(no tā elastības finansējuma apjoms – 13 634 050 </w:t>
      </w:r>
      <w:r w:rsidR="00000000" w:rsidRPr="00000000" w:rsidDel="00000000">
        <w:rPr>
          <w:i w:val="1"/>
          <w:rtl w:val="0"/>
        </w:rPr>
        <w:t xml:space="preserve">euro</w:t>
      </w:r>
      <w:r w:rsidR="00000000" w:rsidRPr="00000000" w:rsidDel="00000000">
        <w:rPr>
          <w:rtl w:val="0"/>
        </w:rPr>
        <w:t xml:space="preserve">) un valsts budžeta līdzfinansējums –15 254 424 </w:t>
      </w:r>
      <w:r w:rsidR="00000000" w:rsidRPr="00000000" w:rsidDel="00000000">
        <w:rPr>
          <w:i w:val="1"/>
          <w:rtl w:val="0"/>
        </w:rPr>
        <w:t xml:space="preserve">euro </w:t>
      </w:r>
      <w:r w:rsidR="00000000" w:rsidRPr="00000000" w:rsidDel="00000000">
        <w:rPr>
          <w:rtl w:val="0"/>
        </w:rPr>
        <w:t xml:space="preserve">(no tā elastības finansējuma apjoms – 2 406 008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pasākumam 2.1.1.7. sastāda 13 050 000 </w:t>
      </w:r>
      <w:r w:rsidR="00000000" w:rsidRPr="00000000" w:rsidDel="00000000">
        <w:rPr>
          <w:i w:val="1"/>
          <w:rtl w:val="0"/>
        </w:rPr>
        <w:t xml:space="preserve">euro</w:t>
      </w:r>
      <w:r w:rsidR="00000000" w:rsidRPr="00000000" w:rsidDel="00000000">
        <w:rPr>
          <w:rtl w:val="0"/>
        </w:rPr>
        <w:t xml:space="preserve"> (no tā elastības finansējuma apjoms – 2 058 315 </w:t>
      </w:r>
      <w:r w:rsidR="00000000" w:rsidRPr="00000000" w:rsidDel="00000000">
        <w:rPr>
          <w:i w:val="1"/>
          <w:rtl w:val="0"/>
        </w:rPr>
        <w:t xml:space="preserve">euro</w:t>
      </w:r>
      <w:r w:rsidR="00000000" w:rsidRPr="00000000" w:rsidDel="00000000">
        <w:rPr>
          <w:rtl w:val="0"/>
        </w:rPr>
        <w:t xml:space="preserve">), tajā skaitā Eiropas Reģionālās attīstības fonda finansējums – 11 092 500 </w:t>
      </w:r>
      <w:r w:rsidR="00000000" w:rsidRPr="00000000" w:rsidDel="00000000">
        <w:rPr>
          <w:i w:val="1"/>
          <w:rtl w:val="0"/>
        </w:rPr>
        <w:t xml:space="preserve">euro </w:t>
      </w:r>
      <w:r w:rsidR="00000000" w:rsidRPr="00000000" w:rsidDel="00000000">
        <w:rPr>
          <w:rtl w:val="0"/>
        </w:rPr>
        <w:t xml:space="preserve">(no tā elastības finansējuma apjoms – 1 749 568 </w:t>
      </w:r>
      <w:r w:rsidR="00000000" w:rsidRPr="00000000" w:rsidDel="00000000">
        <w:rPr>
          <w:i w:val="1"/>
          <w:rtl w:val="0"/>
        </w:rPr>
        <w:t xml:space="preserve">euro</w:t>
      </w:r>
      <w:r w:rsidR="00000000" w:rsidRPr="00000000" w:rsidDel="00000000">
        <w:rPr>
          <w:rtl w:val="0"/>
        </w:rPr>
        <w:t xml:space="preserve">) un valsts budžeta finansējums – 1 957 500 </w:t>
      </w:r>
      <w:r w:rsidR="00000000" w:rsidRPr="00000000" w:rsidDel="00000000">
        <w:rPr>
          <w:i w:val="1"/>
          <w:rtl w:val="0"/>
        </w:rPr>
        <w:t xml:space="preserve">euro </w:t>
      </w:r>
      <w:r w:rsidR="00000000" w:rsidRPr="00000000" w:rsidDel="00000000">
        <w:rPr>
          <w:rtl w:val="0"/>
        </w:rPr>
        <w:t xml:space="preserve">(no tā elastības finansējuma apjoms – 308 747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Pasākumam 2.1.1.4. pieejamā publiskā finansējuma sadalījums,  tā maksimālais apmērs attiecināmo izmaksu segšanai un finansējuma saņēmējs ir noteikts šo noteikumu pielikumā.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pasākumu pirmās atlases kārtas ietvaros pieejamais Eiropas Reģionālās attīstības fonda finansējums netiek izmantots, atlikušo Eiropas Reģionālās attīstības fonda finansējumu novirza pasākumu otrajai kārtai atbilstoši šo noteikumu </w:t>
      </w:r>
      <w:r w:rsidR="00000000" w:rsidRPr="00000000" w:rsidDel="00000000">
        <w:rPr>
          <w:rtl w:val="0"/>
        </w:rPr>
        <w:t xml:space="preserve">40.</w:t>
      </w:r>
      <w:r w:rsidR="00000000" w:rsidRPr="00000000" w:rsidDel="00000000">
        <w:rPr>
          <w:rtl w:val="0"/>
        </w:rPr>
        <w:t xml:space="preserve"> punktā noteiktai kārtībai.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Izglītības un zinātnes ministrija sagatavo Ministru kabineta rīkojumu, ar kuru tiek apstiprināts 2.1.1.7. pasākuma ierobežotas projektu iesnieguma atlases projektu iesniedzēju saraksts, ka arī 2.1.1.7. pasākuma ietvaros līdz 2029. gada 31. decembrim sasniedzamie uzraudzības rādītāji un to vērtības (turpmāk – rīkojums).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pielikumā un rīkojumā minētie finansējuma saņēmēji nodrošina, ka netiek pārsniegts tiem aprēķinātais publiskais finansējums un finansējuma saņēmējs ir izvērtējis publiskā finansējuma ekonomisko lietderību attiecībā pret projekta ietvaros plānotiem sasniedzamiem rādītājiem.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Eiropas Reģionālās attīstības fonda maksimālā līdzfinansējuma likme ir 85 % no projekta kopējām attiecināmajām izmaksām, ja projekta iesniedzējs neveic saimniecisko darbību un atbalsta sniegšana specifiskā atbalsta ietvaros tam nav kvalificējama kā valsts atbalsts komercdarbībai.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Projektam, uz kuru attiecināmi komercdarbības atbalsta kontroles nosacījumi, finansējuma saņēmējs nodrošina ar atbalsta piešķiršanu saistītās dokumentācijas glabāšanu visā projekta dzīves ciklā, bet ne mazāk kā 10 gadus no atbalsta piešķiršanas brīža, bet sadarbības iestāde – ne mazāk kā 10 gadus no pēdējā atbalsta piešķiršanas dienas.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Projekta iesniedzējam, sadarbības partnerim un projekta iesniegumam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kas pēc sadarbības iestādes lēmuma par projekta iesnieguma apstiprināšanu kļūst par finansējuma saņēmēju, ir norādīts šo noteikumu pielikumā un rīkojumā.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2.1.1.4. ietvaros projekta iesniedzējs projekta īstenošanai var piesaistīt sadarbības partneri, kas ir valsts kapitālsabiedrība, kura saskaņā ar normatīvajos aktos noteikto deleģējumu lieto, pārvalda un apsaimnieko valsts nekustamos īpašumus, vai tiešās valsts pārvaldes iestādes padotības iestāde,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noslēdz sadarbības līgumu ar sadarbības partneri pirms projekta iesnieguma iesniegšanas sadarbības iestādē, sadarbības līgumā iekļaujot informāciju atbilstoši normatīvajiem aktiem par kārtību, kādā Eiropas Savienības struktūrfondu un Kohēzijas fonda vadībā iesaistītās institūcijas nodrošina plānošanas dokumentu sagatavošanu un šo fondu ieviešanu 2021.–2027. gada plānošanas periodā, kā arī paredzot vismaz šādus nosacījumus sadarbības partnerim: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ka projekta ieviešanā tiek piesaistīti darbinieki, kuriem ir pieredze energoefektivitātes paaugstināšanas projektu plānošanā, izstrādē, ieviešanā vai uzraudzībā, lai veiktu šo noteikumu </w:t>
      </w:r>
      <w:r w:rsidR="00000000" w:rsidRPr="00000000" w:rsidDel="00000000">
        <w:rPr>
          <w:rtl w:val="0"/>
        </w:rPr>
        <w:t xml:space="preserve">17.3.</w:t>
      </w:r>
      <w:r w:rsidR="00000000" w:rsidRPr="00000000" w:rsidDel="00000000">
        <w:rPr>
          <w:rtl w:val="0"/>
        </w:rPr>
        <w:t xml:space="preserve"> apakšpunktā minētās darbības;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deleģēto uzdevumu veikšanai izmantot sadarbības partnera rīcībā esošo kustamo un nekustamo mantu un infrastruktūru;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ka ar projekta īstenošanu saistītās tiesības un pienākumi netiks nodoti tālāk citai personai, tai skaitā noslēdzot pakalpojuma līgumu;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iesnieguma iesniegšanas dienā nav noslēgts sadarbības līgums, projekta iesniegumam pievieno projekta iesniedzēja un sadarbības partnera nodomu protokolu. Nodomu protokolā ietver vismaz šādu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iesniedzēja un sadarbības partnera apņemšanos sadarboties projekta ietvaros, tai skaitā noslēgt sadarbības līgumu, ja projekts tiks apstiprināts;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iesniedzēja un sadarbības partnera veicamos pienākumus projekta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partneris var īstenot šādas darbības: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sagatavošana, tai skaitā projekta aktivitāšu noteikšana un laika grafika izstrāde;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nodrošināšana atbilstoši šo noteikumu un vienošanās vai līguma par projekta īstenošanu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organizatoriskās shēmas un grāmatvedības organizācijas apraksta izstrāde;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 maksājuma pieprasījumu iesniegšanas grafika sastādīšana un aktualizēšana;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plāna izstrāde un aktualizēšana, iepirkuma dokumentācijas izstrāde, iepirkuma procedūru veikšana;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finanšu plānošana un budžeta sastādīšana, budžeta izlietojuma kontrole;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grozījumu pamatojuma sagatavošana;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kvalitātes un risku vadība;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ietvaros noslēgto līgumu izpildes kontrole un izmaksas attaisnojošās dokumentācijas pārbaude;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progresa pārskatu un maksājuma pieprasījuma sagatavošana;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dokumentācijas glabāšana projekta īstenošanas laikā;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iesniegumā plānoto informācijas un publicitātes pasākumu veikšana;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saņēmēja interešu pārstāvēšana citās institūcijās saskaņā ar deleģējumu.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iesniegumu iesniedz par ēku, vai kopēju ēku grupu, kas ir projekta iesniedzēja īpašumā.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katru ēku, vai kopēju ēku grupu, kas atrodas vienā adresē, vai ēku grupu, kas atrodas dažādās adresēs, ja tās ir funkcionāli saistītas, projekta iesniedzējs var iesniegt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iesniedzēji saņem apliecinājumu no ministrijas vai attiecīgās kapitālsabiedrības kapitāla daļu turētāja (izņemot šo noteikumu pielikuma 7., 9. un 12.punktā minētie finansējuma saņēmēji) par atļauju īstenot projektu. Apliecinājumā ir norādīta šāda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attiecināmās un neattiecināmās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saskaņojums, ka neattiecināmās izmaksas ir nepieciešamas, lai īstenotu energoefektivitātes paaugstināšanas pasākumus, sasniegtu noteiktos rādītājus un nodrošinātu ieguldījumu ilgtspēju;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attiecināmo un neattiecināmo izmaksu segšanas avoti;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ministrijas vai kapitālsabiedrības kapitāla daļu turētāja saskaņojums šo noteikumu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 minēto izmaksu ierobežojumu pārsniegšanai, ievērojot šo noteikumu </w:t>
      </w:r>
      <w:r w:rsidR="00000000" w:rsidRPr="00000000" w:rsidDel="00000000">
        <w:rPr>
          <w:rtl w:val="0"/>
        </w:rPr>
        <w:t xml:space="preserve">10.</w:t>
      </w:r>
      <w:r w:rsidR="00000000" w:rsidRPr="00000000" w:rsidDel="00000000">
        <w:rPr>
          <w:rtl w:val="0"/>
        </w:rPr>
        <w:t xml:space="preserve"> punktā minēto vai to, ka papildus piesaistītais publiskais finansējums tiks nodrošināts no šo noteikumu pielikumā un rīkojumā minētā finansējuma saņēmēja rīcībā esošajiem līdzekļiem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saskaņā ar projektu iesniegumu atlases nolikumu sagatavo projekta iesniegumu un iesniedz to sadarbības iestādē.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sadarbības iestādē iesniedz apliecinājumu, kurā norādīta informācija par plānoto un piešķirto atbalstu par tām pašām attiecināmajām izmaksām, norādot atbalsta piešķiršanas datumu, atbalsta sniedzēju, atbalsta pasākumu un plānoto vai piešķirto atbalsta summu.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energoefektivitātes paaugstināšana atbilstoši energoefektivitātes paaugstināšanas pasākumiem, kas noteikti ēkas energosertifikācijas dokumentācijā: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būvdarbi ēku norobežojošajās konstrukcijās, tostarp to siltināšana;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ēku inženiertīklu atjaunošana, pārbūve vai ierīkošana;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atjaunojamo energoresursu tehnoloģiju iegāde un ierīkošana siltumenerģijas un elektroenerģijas ražošanai un aukstuma apgādei;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aukstuma apgādes sistēmas atjaunošana, pārbūve vai ierīkošana;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ēku automatizētās vadības un kontroles sistēmu iegāde un ierīkošana;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energoefektīva apgaismojuma ierīkošana;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būvprojekta izstrādāšana;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būvdarbi ēkā (ja, īstenojot energoefektivitātes paaugstināšanas pasākumus, tiek skarta ēkas iekšējā un ārējā apdare), lai nodrošinātu ēkas fasādes arhitektonisko un iekštelpu apdares detaļu vizuālo un tehnisko stāvokli un ēkas integrāciju pilsētvidē;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īstenošanas nodrošināšana šo noteikumu </w:t>
      </w:r>
      <w:r w:rsidR="00000000" w:rsidRPr="00000000" w:rsidDel="00000000">
        <w:rPr>
          <w:rtl w:val="0"/>
        </w:rPr>
        <w:t xml:space="preserve">10.</w:t>
      </w:r>
      <w:r w:rsidR="00000000" w:rsidRPr="00000000" w:rsidDel="00000000">
        <w:rPr>
          <w:rtl w:val="0"/>
        </w:rPr>
        <w:t xml:space="preserve"> punktā minētajiem finansējuma saņēmējam;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tiešās attiecināmās izmaksas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energosertifikācijas, tehniskās apsekošanas (periodiskās tehniskās apsekošanas, kas veicama atbilstoši būvnormatīvam būvju tehniskās apsekošanas jomā), būvniecības izmaksu tāmes, būvprojekta, būvdarbu ieceres dokumentācijas, paskaidrojuma raksta dokumentācijas, būvprojekta minimālā sastāvā, ēkas fasādes apliecinājuma kartes izstrādāšanu, kā arī būvprojekta ekspertīzes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būvuzraudzības un autoruzraudzības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vadības un īstenošanas personāla atlīdzības izmaksas šo noteikumu </w:t>
      </w:r>
      <w:r w:rsidR="00000000" w:rsidRPr="00000000" w:rsidDel="00000000">
        <w:rPr>
          <w:rtl w:val="0"/>
        </w:rPr>
        <w:t xml:space="preserve">10.</w:t>
      </w:r>
      <w:r w:rsidR="00000000" w:rsidRPr="00000000" w:rsidDel="00000000">
        <w:rPr>
          <w:rtl w:val="0"/>
        </w:rPr>
        <w:t xml:space="preserve"> punktā minētajam finansējuma saņēmējam šo noteikumu </w:t>
      </w:r>
      <w:r w:rsidR="00000000" w:rsidRPr="00000000" w:rsidDel="00000000">
        <w:rPr>
          <w:rtl w:val="0"/>
        </w:rPr>
        <w:t xml:space="preserve">23.8.</w:t>
      </w:r>
      <w:r w:rsidR="00000000" w:rsidRPr="00000000" w:rsidDel="00000000">
        <w:rPr>
          <w:rtl w:val="0"/>
        </w:rPr>
        <w:t xml:space="preserve">apakšpunktā minēto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būvdarbu izmaksas, kas paredzētas ēkas energosertifikātā energoefektivitātes paaugstināšanas pasākumu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ēkas norobežojošajās konstrukcijās (tai skaitā pārseguma pilna vai daļēja nomaiņa vai pastiprināšana, kas  saistīta ar ēku konstruktīvo stiprību un stabilitāti);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pazemes stāva griestu un ēkas augstākā stāva pārseguma vai jumta siltināšana;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logu un ārdurvju nomaiņa, atjaunošana vai restaurācija;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vēdināšanas sistēmas ierīkošana;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apgaismojuma, kas nodrošina ēkas energoefektivitātes uzlabošanu, ierīkošana;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ēkas iekšējo inženiertīklu (tai skaitā ēkas iekšējās elektroinstalācijas, apkures sistēmas) atjaunošana, pārbūve vai ierīkošana;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ēkas restaurācijas un iekšējās apdares darbi (ja, īstenojot energoefektivitātes paaugstināšanas pasākumus, tiek skarta ēkas iekšējā apdare, attiecas tikai uz to ēkas daļu, kas tiek tieši skarta), lai nodrošinātu ēkas sākotnējo arhitektonisko un iekšējās apdares detaļu vizuālo un tehnisko stāvokli;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pieejamības prasību nodrošināšana (ja, īstenojot energoefektivitātes paaugstināšanas pasākumus tiek skarta ēkas konstrukcija, kurai ir ietekme uz vides pieejamību);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būves pieņemšanu ekspluatācijā atbilstoši Ministru kabineta 2014. gada 2. septembra noteikumu Nr. 529 "Ēku būvnoteikumi" 8. sadaļai "Pieņemšana ekspluatācijā un atsevišķu darbu pabeigšana";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atjaunojamos energoresursus izmantojošu siltumenerģijas ražošanas avotu iegāde un uzstādīšana, kas paredzēti ēkas energosertifikāta pielikumā;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ēku un inženiertehnisko sistēmu automatizētās vadības un kontroles sistēmu ierīkošana, kas paredzēta ēkas energosertifikātā un kas nodrošina sistēmu pareizu un efektīvu darbību un enerģijas patēriņa kontroli un samazinājumu;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projekta darbībām tieši saistīto publicitātes pasākumu izmaksas, kas veiktas saskaņā ar normatīvajiem aktiem par kārtību, kādā Eiropas Savienības struktūrfondu un Kohēzijas fonda ieviešanā 2021.–2027. gada plānošanas periodā nodrošināma komunikācijas un vizuālās identitātes prasību ievērošana.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ir attiecināmās izmaksas, ja pievienotās vērtības nodokļa izmaksas tiešā veidā saistītas ar projektu,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un </w:t>
      </w:r>
      <w:r w:rsidR="00000000" w:rsidRPr="00000000" w:rsidDel="00000000">
        <w:rPr>
          <w:rtl w:val="0"/>
        </w:rPr>
        <w:t xml:space="preserve">24.2.</w:t>
      </w:r>
      <w:r w:rsidR="00000000" w:rsidRPr="00000000" w:rsidDel="00000000">
        <w:rPr>
          <w:rtl w:val="0"/>
        </w:rPr>
        <w:t xml:space="preserve"> apakšpunktā minēto attiecināmo izmaksu kopsumma nepārsniedz 10 % no būvdarbu līguma summas. Ierobežojumu var nepiemērot, ja projekta iesniedzējs pamato, ka šīs prasības piemērošana nav iespējama, un ir saņēmis šo noteikumu </w:t>
      </w:r>
      <w:r w:rsidR="00000000" w:rsidRPr="00000000" w:rsidDel="00000000">
        <w:rPr>
          <w:rtl w:val="0"/>
        </w:rPr>
        <w:t xml:space="preserve">20.4.</w:t>
      </w:r>
      <w:r w:rsidR="00000000" w:rsidRPr="00000000" w:rsidDel="00000000">
        <w:rPr>
          <w:rtl w:val="0"/>
        </w:rPr>
        <w:t xml:space="preserve"> apakšpunktā minēto ministrijas vai kapitālsabiedrības kapitāla daļu turētāja saskaņojumu.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23.8.</w:t>
      </w:r>
      <w:r w:rsidR="00000000" w:rsidRPr="00000000" w:rsidDel="00000000">
        <w:rPr>
          <w:rtl w:val="0"/>
        </w:rPr>
        <w:t xml:space="preserve"> apakšpunktā noteiktās projekta vadības un īstenošanas personāla  atlīdzības izmaksas, kuras saskaņā ar Eiropas Parlamenta un Padomes 2021. gada 24. jūnija Regulas (ES)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Kopīgo noteikumu regula Nr.2021/1060) 55. panta 1. punktā noteikto, projekta iesniegumā plāno kā vienu izmaksu pozīciju, piemērojot izmaksu vienoto likmi 15 procentu apmērā no projekta tiešajām attiecināmajām izmaksām, bet neieskaitot tiešās projekta vadības un īstenošanas personāla  atlīdzības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23.7.</w:t>
      </w:r>
      <w:r w:rsidR="00000000" w:rsidRPr="00000000" w:rsidDel="00000000">
        <w:rPr>
          <w:rtl w:val="0"/>
        </w:rPr>
        <w:t xml:space="preserve"> apakšpunktā minētās izmaksas nepārsniedz 30 %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Projektu iesniegumu atlases kārtas ietvaros radušās izmaksas ir attiecināmas, ja tās atbilst šajos noteikumos minētajām izmaksu pozīcijām, tās ir radušās ne agrāk par 2024. gada 1. janvāri un ir tieši saistītas ar projekta ietvaros veiktajām darbībām, ir izmērāmas, samērīgas, pamatotas ar izdevumus apliecinošiem dokumentiem, kā arī ir ievēroti saimnieciskuma, lietderības un efektivitātes principi.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Projektu iesniegumu atlases kārtas ietvaros var plānot šādas neattiecināmās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pārsniedz šo noteikumu pielikumā un rīkojumā minēto publisko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pārsniedz šo noteikumu </w:t>
      </w:r>
      <w:r w:rsidR="00000000" w:rsidRPr="00000000" w:rsidDel="00000000">
        <w:rPr>
          <w:rtl w:val="0"/>
        </w:rPr>
        <w:t xml:space="preserve">27.</w:t>
      </w:r>
      <w:r w:rsidR="00000000" w:rsidRPr="00000000" w:rsidDel="00000000">
        <w:rPr>
          <w:rtl w:val="0"/>
        </w:rPr>
        <w:t xml:space="preserve">un </w:t>
      </w:r>
      <w:r w:rsidR="00000000" w:rsidRPr="00000000" w:rsidDel="00000000">
        <w:rPr>
          <w:rtl w:val="0"/>
        </w:rPr>
        <w:t xml:space="preserve">28.</w:t>
      </w:r>
      <w:r w:rsidR="00000000" w:rsidRPr="00000000" w:rsidDel="00000000">
        <w:rPr>
          <w:rtl w:val="0"/>
        </w:rPr>
        <w:t xml:space="preserve">punktā minētos ierobežojumus, ja tās netiek segtas no šo noteikumu pielikumā un rīkojumā norādītā finansējuma;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nodokļi un nodevu maksājumi, izņemot šo noteikumu </w:t>
      </w:r>
      <w:r w:rsidR="00000000" w:rsidRPr="00000000" w:rsidDel="00000000">
        <w:rPr>
          <w:rtl w:val="0"/>
        </w:rPr>
        <w:t xml:space="preserve">25.</w:t>
      </w:r>
      <w:r w:rsidR="00000000" w:rsidRPr="00000000" w:rsidDel="00000000">
        <w:rPr>
          <w:rtl w:val="0"/>
        </w:rPr>
        <w:t xml:space="preserve">punktā minēto gadījumu;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radušās pirms šo noteikumu </w:t>
      </w:r>
      <w:r w:rsidR="00000000" w:rsidRPr="00000000" w:rsidDel="00000000">
        <w:rPr>
          <w:rtl w:val="0"/>
        </w:rPr>
        <w:t xml:space="preserve">29.</w:t>
      </w:r>
      <w:r w:rsidR="00000000" w:rsidRPr="00000000" w:rsidDel="00000000">
        <w:rPr>
          <w:rtl w:val="0"/>
        </w:rPr>
        <w:t xml:space="preserve">punktā minētā termiņa;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kas radušās šo noteikumu </w:t>
      </w:r>
      <w:r w:rsidR="00000000" w:rsidRPr="00000000" w:rsidDel="00000000">
        <w:rPr>
          <w:rtl w:val="0"/>
        </w:rPr>
        <w:t xml:space="preserve">56.</w:t>
      </w:r>
      <w:r w:rsidR="00000000" w:rsidRPr="00000000" w:rsidDel="00000000">
        <w:rPr>
          <w:rtl w:val="0"/>
        </w:rPr>
        <w:t xml:space="preserve"> apakšpunktā minētajā gadījumā;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nav noteiktas šo noteikumu </w:t>
      </w:r>
      <w:r w:rsidR="00000000" w:rsidRPr="00000000" w:rsidDel="00000000">
        <w:rPr>
          <w:rtl w:val="0"/>
        </w:rPr>
        <w:t xml:space="preserve">24.</w:t>
      </w:r>
      <w:r w:rsidR="00000000" w:rsidRPr="00000000" w:rsidDel="00000000">
        <w:rPr>
          <w:rtl w:val="0"/>
        </w:rPr>
        <w:t xml:space="preserve">punktā.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projektā tiek plānotas vai projekta īstenošanas laikā rodas neattiecināmās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30.1.</w:t>
      </w:r>
      <w:r w:rsidR="00000000" w:rsidRPr="00000000" w:rsidDel="00000000">
        <w:rPr>
          <w:rtl w:val="0"/>
        </w:rPr>
        <w:t xml:space="preserve">., </w:t>
      </w:r>
      <w:r w:rsidR="00000000" w:rsidRPr="00000000" w:rsidDel="00000000">
        <w:rPr>
          <w:rtl w:val="0"/>
        </w:rPr>
        <w:t xml:space="preserve">30.2.</w:t>
      </w:r>
      <w:r w:rsidR="00000000" w:rsidRPr="00000000" w:rsidDel="00000000">
        <w:rPr>
          <w:rtl w:val="0"/>
        </w:rPr>
        <w:t xml:space="preserve">, </w:t>
      </w:r>
      <w:r w:rsidR="00000000" w:rsidRPr="00000000" w:rsidDel="00000000">
        <w:rPr>
          <w:rtl w:val="0"/>
        </w:rPr>
        <w:t xml:space="preserve">30.3.</w:t>
      </w:r>
      <w:r w:rsidR="00000000" w:rsidRPr="00000000" w:rsidDel="00000000">
        <w:rPr>
          <w:rtl w:val="0"/>
        </w:rPr>
        <w:t xml:space="preserve">, </w:t>
      </w:r>
      <w:r w:rsidR="00000000" w:rsidRPr="00000000" w:rsidDel="00000000">
        <w:rPr>
          <w:rtl w:val="0"/>
        </w:rPr>
        <w:t xml:space="preserve">30.4.</w:t>
      </w:r>
      <w:r w:rsidR="00000000" w:rsidRPr="00000000" w:rsidDel="00000000">
        <w:rPr>
          <w:rtl w:val="0"/>
        </w:rPr>
        <w:t xml:space="preserve"> un </w:t>
      </w:r>
      <w:r w:rsidR="00000000" w:rsidRPr="00000000" w:rsidDel="00000000">
        <w:rPr>
          <w:rtl w:val="0"/>
        </w:rPr>
        <w:t xml:space="preserve">30.6.</w:t>
      </w:r>
      <w:r w:rsidR="00000000" w:rsidRPr="00000000" w:rsidDel="00000000">
        <w:rPr>
          <w:rtl w:val="0"/>
        </w:rPr>
        <w:t xml:space="preserve">. apakšpunktā noteiktās izmaksas sedz no finansējuma saņēmēja rīcībā esošajiem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30.5.</w:t>
      </w:r>
      <w:r w:rsidR="00000000" w:rsidRPr="00000000" w:rsidDel="00000000">
        <w:rPr>
          <w:rtl w:val="0"/>
        </w:rPr>
        <w:t xml:space="preserve"> apakšpunktā noteiktās izmaksas sedz no līdzekļiem, kas nav saistīti ar valsts atbalstu, tajā skaitā no tādiem līdzekļiem, kas iegūti, piemēram, saimnieciskās darbības rezultātā un nav uzskatāmi par publiskajiem resursiem.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projekta īstenošanas laikā rodas neattiecināmās izmaksas vai sadārdzinās projekta plānotās attiecināmās izmaksas un tādēļ projekta izmaksas pārsniedz šo noteikumu pielikumā un rīkojumā minētajam finansējuma saņēmējam pieejamā finansējuma maksimālo apmēru, šo noteikumu pielikumā un rīkojumā minētais finansējuma saņēmējs papildu izmaksas sedz no paša rīcībā esošajiem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Pasākumu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atlases ietvaros tiek atbalstīti ekonomiski pamatoti projekti, kurus īstenojot tiek uzlabota ēku energoefektivitāte, sasniedzot kopējās primārās enerģijas ietaupījumu gadā vismaz 30 procentu apjomā, salīdzinot ar kopējās primārās enerģijas patēriņa gada rādītājiem pirms projekta īstenošanas.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Projektā plānotais kopējās primārās enerģijas ietaupījums tiek noteikts saskaņā ar ēkas energosertifikātu, kas izstrādāts atbilstoši normatīvajiem aktiem par ēku energoefektivitātes aprēķina metodēm un ēku energosertifikāciju.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un sadarbības partneris nodrošina nepārklāšanās principu ar citiem valsts un ārvalstu finanšu atbalsta instrumentiem un dubultā finansējuma neiestāšanos projektā plānotajām  atbalstāmajām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projektu īsteno saskaņā ar noslēgtajā civiltiesiskajā līgumā vai vienošanās par projekta īstenošanu noteikto termiņu, bet ne ilgāk kā līdz 2027.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Atbalsta piešķiršanas diena ir diena, kurā stājas spēkā sadarbības iestādes sākotnējais lēmums par pasākumu ietvaros īstenotā projekta apstiprināšanu.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9 mēnešu laikā no sadarbības iestādes lēmuma par projekta iesnieguma apstiprināšanu spēkā stāšanās dienas iesniedz sadarbības iestādē līgumu, kas noslēgts starp projekta iesniedzēju un pakalpojuma sniedzēju par būvniecības ieceres dokumentācijas izstrādi.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finansējuma saņēmējs neizpilda </w:t>
      </w:r>
      <w:r w:rsidR="00000000" w:rsidRPr="00000000" w:rsidDel="00000000">
        <w:rPr>
          <w:rtl w:val="0"/>
        </w:rPr>
        <w:t xml:space="preserve">38.</w:t>
      </w:r>
      <w:r w:rsidR="00000000" w:rsidRPr="00000000" w:rsidDel="00000000">
        <w:rPr>
          <w:rtl w:val="0"/>
        </w:rPr>
        <w:t xml:space="preserve"> punktā noteiktās prasības attiecīgajā termiņā, sadarbības iestāde 10 darba dienu laikā vienpusēji atkāpjas no noslēgtā civiltiesiskā līguma vai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12 mēnešu laikā no pasākumu atlases pirmās kārtas izsludināšanas dienas, izsludina pasākumu atlases otro kārtu par pasākumu ietvaros neizlietoto finansējumu.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Finansējuma saņēmējs ievēro principu "klimatdrošināšana", kā arī principu "nenodarīt būtisku kaitējumu", kas atbilst Eiropas Parlamenta un Padomes 2020. gada 18. jūnija Regulas (ES) 2020/852 par regulējuma izveidi ilgtspējīgu ieguldījumu veicināšanai un ar ko groza regulu (ES) 2019/2088, 18. pantam un normatīvajiem aktiem vides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paraksta apliecinājumu par interešu konflikta neesību, kā arī projekta īstenošanas laikā nodrošina interešu konflikta neesību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ievēro horizontālo principu „vienlīdzība, iekļaušana, nediskriminācija un pamattiesību ievērošana” un uzkrāj datus par projekta ietekmi uz horizontālo principu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nodrošina komunikācijas un vizuālās identitātes pasākumus saskaņā ar Kopīgo noteikumu regulas Nr.2021/1060 47. pantu un 50. pantu un normatīvajiem aktiem, kas nosaka kārtību, kādā Eiropas Savienības fondu vadībā iesaistītās institūcijas nodrošina šo fondu ieviešanu 2021. – 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Iepirkumu, kas nepieciešams projekta īstenošanai, finansējuma saņēmējs veic saskaņā ar normatīvajiem aktiem publisko iepirkumu jomā, ievērojot caurspīdīgu, atklātu, nediskriminējošu un konkurenci nodrošinošu procedūru. Ieteicama ir vides prasību integrācija preču, pakalpojumu un būvdarbu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Īstenojot projektu, finansējuma saņēmējs nodrošina atsevišķu grāmatvedības uzskaiti par finansējuma izlietojumu projektā.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uzkrāj datus par projektā plānotajiem un sasniegtajiem šo noteikumu </w:t>
      </w:r>
      <w:r w:rsidR="00000000" w:rsidRPr="00000000" w:rsidDel="00000000">
        <w:rPr>
          <w:shd w:fill="#e0ffff" w:val="clear"/>
          <w:rtl w:val="0"/>
        </w:rPr>
        <w:t xml:space="preserve">8.2.</w:t>
      </w:r>
      <w:r w:rsidR="00000000" w:rsidRPr="00000000" w:rsidDel="00000000">
        <w:rPr>
          <w:rtl w:val="0"/>
        </w:rPr>
        <w:t xml:space="preserve"> punktā un rīkojumā minētajiem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ne retāk kā reizi sešos mēnešos ievieto savā tīmekļvietnē (ja tāda ir izveidota) aktuālo informāciju par projekta īstenošanas gaitu.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piecus gadus pēc noslēguma maksājuma veikšanas katru gadu līdz 31. janvārim iesniedz sadarbības iestādē pārskatu par sasniegtajiem rādītājiem atbilstoši sadarbības iestādes noteiktajai formai.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Vismaz piecus gadus pēc noslēguma maksājuma veikšanas finansējuma saņēmējs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veiktās investīcijas un radītie pamatlīdzekļi tiek izmantoti projektā paredzētajam mērķim;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nodrošināta veikto investīciju ilgtspēja un uzturēšana darba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nodrošina, ka tiek uzkrāta informācija par darba vietām, kas veicina vides kvalitātes saglabāšanu vai atjaunošanu (zaļajām darba vietām), un par preču, pakalpojumu un būvdarbu iepirkumiem, kuros integrētas vides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nodrošina, ka tiek iegādātas un uzstādītas tādas sadedzināšanas iekārtas, kas nodrošina normatīvajos aktos par kārtību, kādā novērš, ierobežo un kontrolē gaisu piesārņojošo vielu emisiju no sadedzināšanas iekārtām, noteikto gaisu piesārņojošo vielu emisijas robežvērtību piemērošanu.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glabā projekta dokumentāciju un nodrošina tās pieejamību visā projekta dzīves ciklā.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ar saimniecisko darbību nesaistīts projekts vai projekts, kas saistīts ar tādu saimniecisko darbību, kurai sniegtais atbalsts nav kvalificējams kā komercdarbības atbalsts, ieviešanas gaitā vai projekta dzīves ciklā kļūst par projektu, kas saistīts ar saimniecisko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piešķiršanas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ēkā vai ēkas daļā, par kuru iesniegts projekta iesniegums, tiek veikti valsts deleģētie pārvaldes uzdevumi, atbalsts šo pasākumu ietvaros netiek kvalificēts kā komercdarbības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Šajos noteikumos minētās izmaksas ir attiecināmas, ja ar saimniecisko darbību nesaistītā projekta ēkā vai ēkas daļā, kurā netiek veikta saimnieciskā darbība, tiek veikta papildinoša saimnieciskā darbība vai sniegti parastie papildpakalpojumi, kas kopumā nepārsniedz 20 procentus no ēkas kopējās gada jaudas (platības, laika vai finanšu izteiksmē),  vai ēkas daļas, kurā netiek veikta saimnieciskā darbība, gada jaudas (platības, laika vai finanšu izteiksmē).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izpratnē ar ēkas daļu, kurā netiek veikta saimnieciskā darbība, saprot tādu ēkas daļu, kurā vismaz 80 procentus no tās kopējās gada jaudas (platības, laika vai finanšu izteiksmē) izmanto valsts pārvaldes funkciju un uzdevumu īstenošanai un līdz 20 procentiem no kopējās gada jaudas – papildinošas saimnieciskās darbības īstenošanai vai parasto papildpakalpojumu sniegšanai un kurā nenotiek nekāda cita saimnieciskā darbība. To ēkas daļu, kurā tiek veikta jebkura cita saimnieciskā darbība, neiekļauj projekta iesniegumā un izmaksas finansē no līdzekļiem, par kuriem nav saņemts nekāds komercdarbības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izpratnē par parastajiem papildpakalpojumiem uzskata ēdināšanas pakalpojumu sniegšanu galvenokārt ēkā nodarbinātajiem (piemēram, darbiniekiem un audzēkņiem) jebkura darbības veida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Sadarbības iestāde nodrošina veikto investīciju atbilstības uzraudzību šo noteikumu </w:t>
      </w:r>
      <w:r w:rsidR="00000000" w:rsidRPr="00000000" w:rsidDel="00000000">
        <w:rPr>
          <w:rtl w:val="0"/>
        </w:rPr>
        <w:t xml:space="preserve">57.</w:t>
      </w:r>
      <w:r w:rsidR="00000000" w:rsidRPr="00000000" w:rsidDel="00000000">
        <w:rPr>
          <w:rtl w:val="0"/>
        </w:rPr>
        <w:t xml:space="preserve"> punktā minētajiem nosacījumiem reizi gadā visā projekta dzīves ciklā.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Latvijas Brīvo arodbiedrību savienība saskaņā ar normatīvo aktu par kārtību, kādā pārdala 74. resora "Gadskārtējā valsts budžeta izpildes procesā pārdalāmais finansējums" 80.00.00 programmā plānotos līdzekļus Eiropas Savienības politiku instrumentu un pārējās ārvalstu finanšu palīdzības līdzfinansēto projektu un pasākumu īstenošanai, var saņemt priekšfinansējumu atbilstoši Ministru kabineta noteikumu pielikumā minētajam finansējuma sadalījumam projektu sagatavošanai un īstenošanai par ēku Rīgā, Bruņinieku ielā 29/31.</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24-TA-1380</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24-TA-1380</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noteikumu_projekts_24-TA-1380.docx</dc:title>
</cp:coreProperties>
</file>

<file path=docProps/custom.xml><?xml version="1.0" encoding="utf-8"?>
<Properties xmlns="http://schemas.openxmlformats.org/officeDocument/2006/custom-properties" xmlns:vt="http://schemas.openxmlformats.org/officeDocument/2006/docPropsVTypes"/>
</file>