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augustā (prot. Nr. 31 60.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3.1. prioritātes "Ilgtspējīga TEN-T infrastruktūra" 3.1.1. specifiskā atbalsta mērķa "Attīstīt ilgtspējīgu, pret klimatu izturīgu, inteliģentu, drošu un vairākveidu TEN-T infrastruktūru" 3.1.1.6. pasākuma "Lielo ostu publiskās 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3.1. prioritātes "Ilgtspējīga TEN-T infrastruktūra" 3.1.1. specifiskā atbalsta mērķa "Attīstīt ilgtspējīgu, pret klimatu izturīgu, inteliģentu, drošu un vairākveidu TEN-T infrastruktūru" 3.1.1.6. pasākumu "Lielo ostu publiskās infrastruktūras attīstība"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Savienības Kohēzijas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tai skaitā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attīstīt videi draudzīgu ostu infrastruktūru, mazinot ostu ietekmi uz pilsētvidi, klimatu un uzlabojot ostu drošību.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līdz 2029. gada 31. decembrim ir sasniedzams iznākuma rādītājs – ostu skaits, kurās veiktas investīcijas publiskās infrastruktūras attīstībā, tai skaitā videi draudzīgas ostas infrastruktūras attīstībā, alternatīvo degvielu pieejamības, elektrotīkla pieslēgumiem pie piestātnēm un drošu kuģošanas apstākļu nodrošināšanā, – atbalstu saņēmušas divas ostas.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ostu infrastruktūras 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Kohēzijas fonda finansējumu pasākuma ietvaros piešķir granta veidā. Maksimālais attiecināmais Kohēzijas fonda finansējuma apmērs ir līdz 85 procentiem no projektā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Satiksmes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Pasākumam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plānotais kopējais finansējums ir 9 545 882 </w:t>
      </w:r>
      <w:r w:rsidR="00000000" w:rsidRPr="00000000" w:rsidDel="00000000">
        <w:rPr>
          <w:i w:val="1"/>
          <w:rtl w:val="0"/>
        </w:rPr>
        <w:t xml:space="preserve">euro</w:t>
      </w:r>
      <w:r w:rsidR="00000000" w:rsidRPr="00000000" w:rsidDel="00000000">
        <w:rPr>
          <w:rtl w:val="0"/>
        </w:rPr>
        <w:t xml:space="preserve">, tai skaitā Eiropas Savienības Kohēzijas fonda finansējums 8 113 999 </w:t>
      </w:r>
      <w:r w:rsidR="00000000" w:rsidRPr="00000000" w:rsidDel="00000000">
        <w:rPr>
          <w:i w:val="1"/>
          <w:rtl w:val="0"/>
        </w:rPr>
        <w:t xml:space="preserve">euro </w:t>
      </w:r>
      <w:r w:rsidR="00000000" w:rsidRPr="00000000" w:rsidDel="00000000">
        <w:rPr>
          <w:rtl w:val="0"/>
        </w:rPr>
        <w:t xml:space="preserve">(tai skaitā elastības finansējuma apmērs – 1 282 414 </w:t>
      </w:r>
      <w:r w:rsidR="00000000" w:rsidRPr="00000000" w:rsidDel="00000000">
        <w:rPr>
          <w:i w:val="1"/>
          <w:rtl w:val="0"/>
        </w:rPr>
        <w:t xml:space="preserve">euro</w:t>
      </w:r>
      <w:r w:rsidR="00000000" w:rsidRPr="00000000" w:rsidDel="00000000">
        <w:rPr>
          <w:rtl w:val="0"/>
        </w:rPr>
        <w:t xml:space="preserve">) un privātais finansējums – ne mazāks kā 1 431 883 </w:t>
      </w:r>
      <w:r w:rsidR="00000000" w:rsidRPr="00000000" w:rsidDel="00000000">
        <w:rPr>
          <w:i w:val="1"/>
          <w:rtl w:val="0"/>
        </w:rPr>
        <w:t xml:space="preserve">euro</w:t>
      </w:r>
      <w:r w:rsidR="00000000" w:rsidRPr="00000000" w:rsidDel="00000000">
        <w:rPr>
          <w:rtl w:val="0"/>
        </w:rPr>
        <w:t xml:space="preserve"> (tai skaitā elastības finansējuma apmērs – 226 308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īstenošanai kopējais attiecināmais finansējums līdz 2025. gada 31. decembrim ir 8 037 160 </w:t>
      </w:r>
      <w:r w:rsidR="00000000" w:rsidRPr="00000000" w:rsidDel="00000000">
        <w:rPr>
          <w:i w:val="1"/>
          <w:rtl w:val="0"/>
        </w:rPr>
        <w:t xml:space="preserve">euro</w:t>
      </w:r>
      <w:r w:rsidR="00000000" w:rsidRPr="00000000" w:rsidDel="00000000">
        <w:rPr>
          <w:rtl w:val="0"/>
        </w:rPr>
        <w:t xml:space="preserve">, tai skaitā Eiropas Savienības Kohēzijas fonda finansējums 6 831 585 </w:t>
      </w:r>
      <w:r w:rsidR="00000000" w:rsidRPr="00000000" w:rsidDel="00000000">
        <w:rPr>
          <w:i w:val="1"/>
          <w:rtl w:val="0"/>
        </w:rPr>
        <w:t xml:space="preserve">euro</w:t>
      </w:r>
      <w:r w:rsidR="00000000" w:rsidRPr="00000000" w:rsidDel="00000000">
        <w:rPr>
          <w:rtl w:val="0"/>
        </w:rPr>
        <w:t xml:space="preserve"> un privātais finansējums – ne mazāks kā 1 205 575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Pēc 2026. gada 1. janvāra atbildīgā iestāde atbilstoši Eiropas Komisijas lēmumam par vidusposma pārskatu var ierosināt sadarbības iestādei palielināt projektam pieejamo Kohēzijas fonda finansējumu līdz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minētajam apmēram.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paredzēts īstenot divus projektus, nodrošinot tiem vienlīdzīgu pasākumam pieejamā Eiropas Savienības Kohēzijas fonda finansējuma sadalījumu. Viens projekta iesniedzējs īsteno vienu projektu.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īstenošanā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krasta elektroapgādes punkta/-u izveide jūras kuģiem (turpmāk – krasta elektroapgādes punkts);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drošu kuģošanas apstākļu nodrošināšanas pasākumi.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Projektā neiekļauj darbības, kas nav vērstas uz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Atbalsts 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norādītās darbības īstenošanai nav uzskatāms par komercdarbības atbalstu.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Atbalsts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norādītās darbības īstenošanai kvalificējams kā komercdarbības atbalsts. Atbalstu sniedz saskaņā ar Komisijas 2014. gada 17. jūnija Regulas (ES) Nr. 651/2014, ar ko noteiktas atbalsta kategorijas atzīst par saderīgām ar iekšējo tirgu, piemērojot Līguma 107. un 108. pantu (turpmāk – regula Nr. 651/2014), 56.b pantu.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ir attiecināmas šādas projekta tiešās attiecināmās izmaksas, kas ir tieši saistītas ar projekta īstenošanu un nepieciešamas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(izņemot projekta iesnieguma veidlapas aizpildīšanas izmaksas), tai skaitā izmaksu un ieguvumu analīzes izstrādes izmaksas un tehniski ekonomiskās priekšizpētes un pamatojuma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būvuzraudzības, kā arī apvienotās būvprojekta izstrādes un būvdarbu veikšanas procesa neatkarīgas uzraudzības pakalpojuma izmaksas, autoruzraudzības izmaksas un attiecīgo būvspeciālistu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būvdarbu ieceres dokumentācijas, būvprojekta minimālā sastāvā, apliecinājuma kartes vai paskaidrojuma raksta izstrāde visām projektā paredzētajām darbībām un ar to saistīto būvekspertīžu, izpētes, slēdzienu un ekspertīzes izmaksas, ja to veikšana ir priekšnosacījums būvprojekta, būvdarbu ieceres dokumentācijas vai būvprojekta minimālā sastāvā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krasta elektroapgādes punkta izveidošanas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elektroapgādes iekārtu iegādes, piegādes, montāžas un būvdarbu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elektrotīkla pieslēguma izmaksas, tai skaitā jaudas palielināšana, lai nodrošinātu elektroapgādes iekārtu darbību;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elektroapgādes iekārtu darbībai nepieciešamās programmatūras iegādes un uzstādīšanas izmaksas,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elektroapgādes infrastruktūras drošības sistēmu iegādes un uzstādīšanas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ostas naftas un citu atkritumu, tai skaitā izplūdes gāzu attīrīšanas sistēmu atlikumu, pieņemšanas iekārtu iegāde un uzstādīšana vides prasību ievērošanai;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drošu kuģošanas apstākļu nodrošināšanas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kuģu satiksmes vadības centra modernizēšanas izmaksas, tai skaitā: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programmnodrošinājuma iegādes un uzstādīšanas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tehniskā aprīkojuma iegādes, piegādes, montāžas un būvdarbu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infrastruktūras izveides izmaksas (piemēram, elektroenerģijas padeves, datu pārvades infrastruktūra);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telpu atjaunošanas vai pārbūves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ostas informācijas sistēmas programmnodrošinājuma iegādes un uzstādīšanas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navigācijas zīmju (piemēram, stacionārās, peldošās navigācijas zīmes) iegādes, piegādes, montāžas un būvdarbu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vides aizsardzības prasību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obligāto ugunsdrošības un citu drošības prasību ievērošanu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komunikācijas un vizuālās identitātes pasākumu nodrošināšanai.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un </w:t>
      </w:r>
      <w:r w:rsidR="00000000" w:rsidRPr="00000000" w:rsidDel="00000000">
        <w:rPr>
          <w:rtl w:val="0"/>
        </w:rPr>
        <w:t xml:space="preserve">17.3. </w:t>
      </w:r>
      <w:r w:rsidR="00000000" w:rsidRPr="00000000" w:rsidDel="00000000">
        <w:rPr>
          <w:rtl w:val="0"/>
        </w:rPr>
        <w:t xml:space="preserve">apakšpunktā</w:t>
      </w:r>
      <w:r w:rsidR="00000000" w:rsidRPr="00000000" w:rsidDel="00000000">
        <w:rPr>
          <w:rtl w:val="0"/>
        </w:rPr>
        <w:t xml:space="preserve"> minētās izmaksas kopā nepārsniedz 10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Neparedzētie izdevumi nepārsniedz piecus procentus no projekta kopējām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Izmaksas ir attiecināmas no projekta iesnieguma iesniegšanas dienas Kohēzijas politikas fondu vadības informācijas sistēmā. Būvdarbu līgumu slēdz un ar ieguldījumiem saistītus būvdarbus uzsāk pēc projekta iesnieguma iesniegšanas, izņemot projektu pamatojošās dokumentācijas sagatavošanas izmaksas, kas ir attiecināmas, ja tās veiktas pēc 2024. gada 1. janvāra.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apakšpunktā minētajiem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atbalsts tiek piešķirts kā komercdarbības atbalsts, projekta īstenošanas gaitā radušās sadārdzinājuma izmaksas finansējuma saņēmējs sedz no saviem līdzekļiem, kas brīvi no jebkāda komercdarbības atbalsta.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Projektu iesniedzēji ir Ventspils brīvostas pārvalde un Liepājas speciālās ekonomiskās zonas pārvalde. Pēc projekta iesnieguma apstiprināšanas projekta iesniedzējs ir finansējuma saņēmējs.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projekta iesnieguma iesniedzējam un finansējuma saņēmējam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 nevar pretendēt uz atbalstu atbilstoši regulas Nr. 651/2014 56.b pantam, ja tas atbilst grūtībās nonākuša komersanta statusam un uz to attiecas vismaz viens no regulas Nr. 651/2014 2. panta 18. punktā minētajiem kritērijiem.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komercdarbības atbalsts netiek sniegts finansējuma saņēmējam, uz kuru attiecas līdzekļu atgūšanas rīkojums saskaņā ar regulas Nr. 651/2014 1. panta 4. punkta "a" apakšpunktu.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minētajām prasībām un iesniedz to sadarbības iestādē, izmantojot Kohēzijas politikas fondu vadības informācijas sistēmu. Iesniegumam pievieno: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veikto izmaksu un ieguvumu analīzi (projekta iesniedzējam, veicot izmaksu un ieguvumu analīzi (finanšu analīzi un ekonomisko analīzi), jāievēro, ka projekta ekonomiskā ienesīguma norma ir lielāka par sociālo diskonta likmi un projekta ekonomiskā neto pašreizējā vērtība ir lielāka par nulli);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ka uz finansējuma saņēmēju neattiecas šo noteikumu </w:t>
      </w:r>
      <w:r w:rsidR="00000000" w:rsidRPr="00000000" w:rsidDel="00000000">
        <w:rPr>
          <w:rtl w:val="0"/>
        </w:rPr>
        <w:t xml:space="preserve">25. punktā</w:t>
      </w:r>
      <w:r w:rsidR="00000000" w:rsidRPr="00000000" w:rsidDel="00000000">
        <w:rPr>
          <w:rtl w:val="0"/>
        </w:rPr>
        <w:t xml:space="preserve"> minētais izslēgšanas kritērijs (ja attiecināms), kā arī apliecina projekta atbilstību šajos noteikumos minētajiem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Atbalsta saņemšanas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Piemērojot regulas Nr. 651/2014 56.b panta 5. punkta "a" apakšpunktu, komercdarbības atbalsta intensitāte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norādītās darbības īstenošanai ir līdz 100 procentu apmērā no darbības īstenošanas attiecināmajām izmaksām, vienlaikus ņemot vērā regulas Nr. 651/2014 56.b panta 4. punktā minētos nosacījumus. Atbalsta intensitāte atbilst regulas Nr. 651/2014 2. panta 26. punktā noteiktajai definīcijai.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Ostas infrastruktūra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norādītās darbības īstenošanai atbilst ostu infrastruktūras definīcijai atbilstoši regulas Nr. 651/2014 2. panta 157. 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Atbalsts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norādītās darbības īstenošanai atbilst atbalsta pārredzamības nosacījumiem saskaņā ar regulas Nr. 651/2014 5. panta 1. punktu un 2. punkta "a" apakšpunktu.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Saskaņā ar šiem noteikumiem piešķirto atbalstu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Ja par vienām un tām pašām projekta attiecināmajām izmaksām tiek piešķirts atbalsts vairāku komercdarbības atbalsta programmu ietvaros, finansējuma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Darbus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norādītās darbības veikšanai var uzsākt pēc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minētā projekta iesnieguma iesniegšanas atbilstoši regulas Nr. 651/2014 6. pantam, ņemot vērā, ka regulas Nr. 651/2014 izpratnē par darbu sākumu ir uzskatāmas darbības, kas atbilst regulas Nr. 651/2014 2. panta 23. punktā minētajiem nosacījumiem (ja darbu sākums ir pirms projekta iesnieguma iesniegšanas brīža, izmaksas nav attiecināmas).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Par komercdarbības atbalsta piešķiršanas brīdi uzskata dienu, kad pieņemts atbalsta sniedzēja lēmums par projekta apstiprināšanu vai atzinums par nosacījumu izpildi.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nodrošina, ka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īstenotās darbības rezultātā radītā ostas infrastruktūra saskaņā ar regulas Nr. 651/2014 56.b panta 8. punktu ieinteresētajiem lietotājiem pieejama vienlīdzīgā un nediskriminējošā veidā atbilstoši tirgus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tiek pārkāptas regulas Nr. 651/2014 minētās prasības, finansējuma saņēmējs atmaksā projekta ietvaros nelikumīgi saņemto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Atbalstu saskaņā ar regulas Nr. 651/2014 nosacījumiem šo noteikumu ietvaros piešķir, ievērojot regulas Nr. 651/2014 58. panta 4. punktā un 59. pantā noteiktos termiņus.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Sadarbības iestāde nodrošina regulas Nr. 651/2014 9. panta 1. punkta "c" apakšpunktā un 4. punktā noteiktos publicitātes pasākumus.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Informācijas pieejamība atbilstoši regulas Nr. 651/2014 12. panta 1. punktam tiek nodrošināta šādā veidā: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iestāde nodrošina informācijas pieejamību 10 gadus, sākot no dienas, kad saskaņā ar atbalsta shēmu ir piešķirts pēdējais komercdarbības atbalsts;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nodrošina informācijas pieejamību 10 gadus, sākot no komercdarbības atbalsta piešķiršanas dienas.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nosacījumus, kā tas pārliecinās par interešu konflikta, krāpšanas un korupcijas risku neesību, tai skaitā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ja interešu konflikts, krāpšana vai korupcija ir atklāta;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projektā plānoto darbu sasaisti, sinerģiju un demarkāciju ar citu atbalsta instrumentu investīcijām. Finansējuma saņēmējs nodrošina, ka projektā plānotās attiecināmās izmaksas netiek finansētas vai līdzfinansētas, kā arī tās nav plānots finansēt vai līdzfinansēt no citiem valsts un ārvalstu finanšu atbalsta instrumentiem, un dubultā finansējuma neiestāšanos, kā arī nodrošina atbilstoši komercdarbības atbalsta regulējumam (ja attiecināms) atbalsta summēšanas (kumulācijas) nosacījumu ievērošanu;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infrastruktūras objekts, kurā plānots veikt ieguldījumus, ir finansējuma saņēmēja īpašumā, ilgtermiņa nomā, bezatlīdzības lietošanā, valdījumā vai turējumā un finansējuma saņēmēja tiesības uz konkrēto objektu vai īpašumu ir nostiprinātas Valsts vienotajā datorizētajā zemesgrāmatā;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un publiskos iepirkumus regulējošo normatīvo aktu prasībām, kā arī paraksta interešu konflikta neesības apliecinājumu;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īstenošanas laikā nodrošina nepieciešamās darbības un ievēro nosacījumus, kas identificēti horizontālā principa "Nenodarīt būtisku kaitējumu" novērtējumā, lai nodrošinātu, ka tiek novērsta vai mazināta pasākuma ietvaros atbalstāmo darbību ietekme uz vidi;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ievēro un uzkrāj datus par projekta ietekmi uz horizontālā principa "Klimatnodrošināšana" rādītājiem – pasākuma īstenošanas rezultātā radīto siltumnīcefekta gāzu emisiju samazināšanu vai CO</w:t>
      </w:r>
      <w:r w:rsidR="00000000" w:rsidRPr="00000000" w:rsidDel="00000000">
        <w:rPr>
          <w:vertAlign w:val="subscript"/>
          <w:rtl w:val="0"/>
        </w:rPr>
        <w:t xml:space="preserve">2</w:t>
      </w:r>
      <w:r w:rsidR="00000000" w:rsidRPr="00000000" w:rsidDel="00000000">
        <w:rPr>
          <w:rtl w:val="0"/>
        </w:rPr>
        <w:t xml:space="preserve"> piesaistes palielināšanu;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ievēro un, ja attiecināms, uzkrāj datus par projekta ietekmi uz horizontālā principa "Energoefektivitāte pirmajā vietā" rādītājiem;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sasniegto rezultātu ilgtspēju vismaz piecus gadus pēc noslēguma maksājuma veikšanas;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komunikācijas un vizuālās identitātes prasības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normatīvajiem aktiem publisko iepirkumu jomā, īstenojot atklātu, pārredzamu, nediskriminējošu un konkurenci nodrošinošu konkursa procedūru. Atbalstāms ir zaļais publiskais iepirkums (vides prasību integrācija preču un pakalpojumu iepirkumos), sociāli atbildīgs iepirkums un inovatīvs iepirkums.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Sadarbības iestāde pēc vienošanās noslēgšanas par projekta īstenošanu un rakstiska avansa pieprasījuma saņemšanas var piešķirt avansu, ja tai ir pieejami valsts budžeta līdzekļi, izvērtējot plānotā avansa apmēru un nepieciešamības pamatojumu.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30 procentiem no projektam piešķirtā Kohēzijas fonda finansējuma, ievērojot, ka avansu var izmaksāt vairākos maksājumos un avansa un starpposma maksājumu kopsumma nepārsniedz 90 procentus no projektam piešķirtā Kohēzijas fonda finansējuma.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komercdarbības atbalstu sniedz saskaņā ar regulas Nr. 651/2014 56.b pantu, sadarbības iestāde nodrošina projekta uzraudzību projekta dzīves ciklā.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24-TA-375</w:t>
    </w:r>
    <w:r>
      <w:br/>
    </w:r>
    <w:r w:rsidR="00000000" w:rsidRPr="00000000" w:rsidDel="00000000">
      <w:rPr>
        <w:rtl w:val="0"/>
      </w:rPr>
      <w:t xml:space="preserve">Izdrukāts 29.07.2026. 21.48 - 1.0.VK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24-TA-375</w:t>
    </w:r>
    <w:r>
      <w:br/>
    </w:r>
    <w:r w:rsidR="00000000" w:rsidRPr="00000000" w:rsidDel="00000000">
      <w:rPr>
        <w:rtl w:val="0"/>
      </w:rPr>
      <w:t xml:space="preserve">Izdrukāts 29.07.2026. 21.48 - 1.0.VK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noteikumu_projekts_24-TA-375.docx</dc:title>
</cp:coreProperties>
</file>

<file path=docProps/custom.xml><?xml version="1.0" encoding="utf-8"?>
<Properties xmlns="http://schemas.openxmlformats.org/officeDocument/2006/custom-properties" xmlns:vt="http://schemas.openxmlformats.org/officeDocument/2006/docPropsVTypes"/>
</file>