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17. jūnijā (prot. Nr. 24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 (Latvijas Vēstnesis, 2024, 64., 108.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Pasākuma pirmās un otrās atlases kārtas mērķteritorijas ir īpaši aizsargājamās dabas teritorijas, kurām saskaņā ar Viedās administrācijas un reģionālās attīstības ministrijas  izveidotās dabas aizsardzības plānu izvērtēšanas komisijas lēmumu dabas aizsardzības plāni ir izstrādājami prioritāri."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atbildīgās iestādes funkcijas pilda Viedās administrācijas un reģionālās attīstības ministrija (turpmāk –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Pasākuma otrās atlases kārtas īstenošanai plānotais un pieejamais kopējais attiecināmais finansējums ir 1 993 250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1 694 262 </w:t>
      </w:r>
      <w:r w:rsidR="00000000" w:rsidRPr="00000000" w:rsidDel="00000000">
        <w:rPr>
          <w:i w:val="1"/>
          <w:rtl w:val="0"/>
        </w:rPr>
        <w:t xml:space="preserve">euro</w:t>
      </w:r>
      <w:r w:rsidR="00000000" w:rsidRPr="00000000" w:rsidDel="00000000">
        <w:rPr>
          <w:rtl w:val="0"/>
        </w:rPr>
        <w:t xml:space="preserve"> un nacionālais līdzfinansējums, ko veido pašvaldību budžeta līdzfinansējums, – vismaz 298 988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iesniegumā minimālais plānotais attiecināmo izmaksu apmērs nav mazāks par 200 000 (ieskaitot)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Finansējuma saņēmējs un sadarbības partneris (ja attiecināms) izstrādā nosacījumus, kā pārliecināties par interešu konflikta, krāpšanas un korupcijas risku neesību,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neesību, lai tiktu ievērotas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pantā noteiktās prasības."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 viedās administrācijas un reģionālās attīstības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25-TA-1044</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25-TA-1044</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noteikumu_(grozījumu)_projekts_25-TA-1044.docx</dc:title>
</cp:coreProperties>
</file>

<file path=docProps/custom.xml><?xml version="1.0" encoding="utf-8"?>
<Properties xmlns="http://schemas.openxmlformats.org/officeDocument/2006/custom-properties" xmlns:vt="http://schemas.openxmlformats.org/officeDocument/2006/docPropsVTypes"/>
</file>