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janvārī (prot. Nr. 4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15. septembra noteikumos Nr. 524 "Kārtība, kādā nosaka, aprēķina un uzskaita katra dzīvojamās mājas īpašnieka maksājamo daļu par dzīvojamās mājas uzturēšanai nepieciešamajiem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br/>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15. septembra noteikumos Nr. 524 "Kārtība, kādā nosaka, aprēķina un uzskaita katra dzīvojamās mājas īpašnieka maksājamo daļu par dzīvojamās mājas uzturēšanai nepieciešamajiem pakalpojumiem" (Latvijas Vēstnesis, 2015, 190. nr.; 2020, 65A., 78A. nr.; 2021, 169.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Personai, kura aprēķina maksājamo daļu, vai citai ar dzīvojamās mājas īpašnieku lēmumu pilnvarotai personai ir tiesības pārbaudīt dzīvoklī, nedzīvojamā telpā vai mākslinieka darbnīcā uzstādīto ūdens patēriņa skaitītāju un siltumenerģijas skaitītāju (tai skaitā siltuma maksas sadalītāju un siltumenerģijas patēriņa noteikšanas sistēmas, izmantojot tiešsaistē periodiski fiksētus siltumnesēja caurplūdes un apkures cauruļvadu virsmu temperatūras datus (turpmāk – siltumenerģijas patēriņa noteikšanas sistēma) sensoru) rādījumus, darbību un plombu tehnisko stāvokli, kā arī par saviem līdzekļiem veikt minēto ierīču vai iekārtu pirmstermiņa verificēšanu vai nomaiņu."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Ja dzīvoklī, nedzīvojamā telpā vai mākslinieka darbnīcā ūdens patēriņa skaitītājs vai siltumenerģijas skaitītājs ir uzstādīts, neņemot vērā normatīvos aktus par mērījumu vienotību (ja uzstādīts siltuma maksas sadalītājs – piemērojamo standartu,  ja uzstādīts siltumenerģijas patēriņa noteikšanas sistēmas sensors – normatīvo aktu par radioiekārtu atbilstības novērtēšanu, piedāvāšanu tirgū, uzstādīšanu, lietošanu un uzraudzību) vai dzīvojamās mājas īpašnieku noteiktās prasības, vai arī patērētā ūdens vai siltumenerģijas daudzuma noteikšanai izmantotās ierīces vai iekārtas neatbilst minētajām prasībām, izdevumus par ūdens vai siltumenerģijas skaitītāju atkārtotu verificēšanu agrāk par verificēšanas sertifikātā vai šo noteikumu 6.</w:t>
      </w:r>
      <w:r w:rsidR="00000000" w:rsidRPr="00000000" w:rsidDel="00000000">
        <w:rPr>
          <w:vertAlign w:val="superscript"/>
          <w:rtl w:val="0"/>
        </w:rPr>
        <w:t xml:space="preserve">2</w:t>
      </w:r>
      <w:r w:rsidR="00000000" w:rsidRPr="00000000" w:rsidDel="00000000">
        <w:rPr>
          <w:rtl w:val="0"/>
        </w:rPr>
        <w:t xml:space="preserve"> un 19.</w:t>
      </w:r>
      <w:r w:rsidR="00000000" w:rsidRPr="00000000" w:rsidDel="00000000">
        <w:rPr>
          <w:vertAlign w:val="superscript"/>
          <w:rtl w:val="0"/>
        </w:rPr>
        <w:t xml:space="preserve">1</w:t>
      </w:r>
      <w:r w:rsidR="00000000" w:rsidRPr="00000000" w:rsidDel="00000000">
        <w:rPr>
          <w:rtl w:val="0"/>
        </w:rPr>
        <w:t xml:space="preserve"> punktā noteikto termiņu un minēto ierīču vai iekārtu nomaiņu vai pareizu uzstādīšanu sedz atbildīgais par patērētā ūdens vai siltumenerģijas daudzuma noteikšanai izmantojamo ierīču vai iekārtu uzstādīšanu (attiecīgi dzīvojamās mājas īpašnieks vai dzīvojamās mājas īpašnieku pilnvarotā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siltumenerģijas skaitītāju dzīvojamās mājas ievadā un siltumenerģijas patēriņa noteikšanas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Dzīvojamās mājas īpašnieki nosaka kārtību (tai skaitā vienotas prasības siltumenerģijas skaitītāju, siltuma maksas sadalītāju un siltumenerģijas patēriņa noteikšanas sistēmas tehniskajiem parametriem, papildaprīkojumam un uzstādīšanai), kādā nodrošina patērētās siltumenerģijas daudzuma noteikšanai izmantoto ierīču vai iekārtas uzstādīšanu, nomaiņu un to atkārtotu verificēšanu dzīvoklī, nedzīvojamā telpā un mākslinieka darbnīcā atbilstoši normatīvajiem aktiem par mērījumu vienotību, normatīvajam aktam par radioiekārtu atbilstības novērtēšanu, piedāvāšanu tirgū, uzstādīšanu, lietošanu un uzraudzību vai atbilstoši standartam LVS EN 834+AC:2021 "Siltuma maksas sadalītāji dzīvokļa apsildes radiatoriem. Ierīces ar elektroenerģijas avotu". Minētā kārtība ir vienota visā dzīvojamā mājā."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19.</w:t>
      </w:r>
      <w:r w:rsidR="00000000" w:rsidRPr="00000000" w:rsidDel="00000000">
        <w:rPr>
          <w:vertAlign w:val="superscript"/>
          <w:rtl w:val="0"/>
        </w:rPr>
        <w:t xml:space="preserve">3</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2. dzīvojamās mājas apkures sistēmas, siltuma maksas sadalītāju, to uzstādīšanas, lietošanas, siltuma izmaksu sadales aprēķināšanas un pārbaudes atbilstību prasībām, kas noteiktas standartā LVS EN 834+AC:2021 "Siltuma maksas sadalītāji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Lai izmantotu siltumenerģijas patēriņa noteikšanas sistēmu dzīvojamās mājas siltumenerģijas patēriņa sadalījuma noteikšanai: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1. ievēro dzīvojamās mājas īpašnieku noteikto kārtību un prasības un normatīvo aktu par radioiekārtu atbilstības novērtēšanu, piedāvāšanu tirgū, uzstādīšanu, lietošanu un uzraudzību  (šo noteikumu 19.</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2. uzstāda siltumenerģijas patēriņa noteikšanas sistēmas sensorus vairāk par 70 % no kopējā dzīvokļu, nedzīvojamo telpu un mākslinieka darbnīcu skaita dzīvojamā mājā;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3. dzīvojamās mājas īpašniekam, kurš nav ļāvis veikt siltumenerģijas patēriņa noteikšanas sistēmas sensoru uzstādīšanu, pārbaudi vai nomaiņu (šo noteikumu 3. punkts) vai kura siltumenerģijas patēriņa noteikšanas sistēmas sensors ir bojāts, patvarīgi aizstāts vai noņemts vai ietekmēta siltumenerģijas patēriņa noteikšanas sistēmas darbība, maksājamo daļu par kvadrātmetru nosaka līdzvērtīgi dzīvokļiem, nedzīvojamām telpām un mākslinieka darbnīcām ar maksimālo enerģijas patēriņu;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4. dzīvojamās mājas īpašniekam, kura dzīvoklī, nedzīvojamā telpā vai mākslinieka darbnīcā izmanto individuālo apkuri, aprēķina daļu no ēkas kopējā siltumenerģijas patēriņa."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siltumenerģijas skaitītājs ir uzstādīts dzīvojamās mājas ievadā un ir uzstādīta siltumenerģijas patēriņa noteikšanas sistēma dzīvokļos, nedzīvojamās telpās un mākslinieka darbnīcās – dzīvojamās mājas īpašnieki piemēro šo noteikumu 13.</w:t>
      </w:r>
      <w:r w:rsidR="00000000" w:rsidRPr="00000000" w:rsidDel="00000000">
        <w:rPr>
          <w:vertAlign w:val="superscript"/>
          <w:rtl w:val="0"/>
        </w:rPr>
        <w:t xml:space="preserve">1</w:t>
      </w:r>
      <w:r w:rsidR="00000000" w:rsidRPr="00000000" w:rsidDel="00000000">
        <w:rPr>
          <w:rtl w:val="0"/>
        </w:rPr>
        <w:t xml:space="preserve">, 13.</w:t>
      </w:r>
      <w:r w:rsidR="00000000" w:rsidRPr="00000000" w:rsidDel="00000000">
        <w:rPr>
          <w:vertAlign w:val="superscript"/>
          <w:rtl w:val="0"/>
        </w:rPr>
        <w:t xml:space="preserve">2</w:t>
      </w:r>
      <w:r w:rsidR="00000000" w:rsidRPr="00000000" w:rsidDel="00000000">
        <w:rPr>
          <w:rtl w:val="0"/>
        </w:rPr>
        <w:t xml:space="preserve"> vai 13.</w:t>
      </w:r>
      <w:r w:rsidR="00000000" w:rsidRPr="00000000" w:rsidDel="00000000">
        <w:rPr>
          <w:vertAlign w:val="superscript"/>
          <w:rtl w:val="0"/>
        </w:rPr>
        <w:t xml:space="preserve">3</w:t>
      </w:r>
      <w:r w:rsidR="00000000" w:rsidRPr="00000000" w:rsidDel="00000000">
        <w:rPr>
          <w:rtl w:val="0"/>
        </w:rPr>
        <w:t xml:space="preserve"> pielikumā minēto metodiku."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siltumenerģijas skaitītājs ir uzstādīts dzīvojamās mājas ievadā un ir uzstādīta siltumenerģijas patēriņa noteikšanas sistēma dzīvokļos, nedzīvojamās telpās un mākslinieka darbnīcās – dzīvojamās mājas īpašnieki piemēro šo noteikumu 17.</w:t>
      </w:r>
      <w:r w:rsidR="00000000" w:rsidRPr="00000000" w:rsidDel="00000000">
        <w:rPr>
          <w:vertAlign w:val="superscript"/>
          <w:rtl w:val="0"/>
        </w:rPr>
        <w:t xml:space="preserve">1</w:t>
      </w:r>
      <w:r w:rsidR="00000000" w:rsidRPr="00000000" w:rsidDel="00000000">
        <w:rPr>
          <w:rtl w:val="0"/>
        </w:rPr>
        <w:t xml:space="preserve"> pielikumā minēto metodiku."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siltumenerģijas skaitītājs ir uzstādīts dzīvojamās mājas ievadā un ir uzstādīta siltumenerģijas patēriņa noteikšanas sistēma dzīvokļos, nedzīvojamās telpās un mākslinieka darbnīcās – dzīvojamās mājas īpašnieki piemēro šo noteikumu 20.</w:t>
      </w:r>
      <w:r w:rsidR="00000000" w:rsidRPr="00000000" w:rsidDel="00000000">
        <w:rPr>
          <w:vertAlign w:val="superscript"/>
          <w:rtl w:val="0"/>
        </w:rPr>
        <w:t xml:space="preserve">1</w:t>
      </w:r>
      <w:r w:rsidR="00000000" w:rsidRPr="00000000" w:rsidDel="00000000">
        <w:rPr>
          <w:rtl w:val="0"/>
        </w:rPr>
        <w:t xml:space="preserve"> pielikumā minēto metodiku."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nosakot maksājamo daļu, tiek izmantota siltumenerģijas uzskaites (sadales) iespēja, kas nav minēta šo noteikumu 19. punktā, dzīvojamās mājas īpašnieki var vienoties arī par citas šo noteikumu pielikumos neminētas siltumenerģijas patēriņa metodikas izmantošanu, ja tiek ievēroti šo noteikumu pielikumos minētajās metodikās noteiktie siltumenerģijas sadales aprēķinu principi un metodiku ir noteicis neatkarīgs eksperts. Vienlaikus ir jānodrošina, ka dzīvojamā mājā individuālā siltumenerģijas patēriņa ierīces ir uzstādītas vairāk par 70 % no kopējā dzīvokļu, nedzīvojamo telpu un mākslinieku darbnīcu skaita dzīvojamā  mājā."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Dzīvojamās mājās, kurās siltumenerģijas uzskaiti (sadali) veic ar siltumenerģijas skaitītāju dzīvojamās mājas ievadā un siltuma maksas sadalītājiem vai siltumenerģijas skaitītājiem dzīvokļos, nedzīvojamās telpās un mākslinieka darbnīcās, personai, kura aprēķina maksājamās daļas apmēru, no 2022. gada 1. marta ir pienākums ievērot šo noteikumu 19.</w:t>
      </w:r>
      <w:r w:rsidR="00000000" w:rsidRPr="00000000" w:rsidDel="00000000">
        <w:rPr>
          <w:vertAlign w:val="superscript"/>
          <w:rtl w:val="0"/>
        </w:rPr>
        <w:t xml:space="preserve">2</w:t>
      </w:r>
      <w:r w:rsidR="00000000" w:rsidRPr="00000000" w:rsidDel="00000000">
        <w:rPr>
          <w:rtl w:val="0"/>
        </w:rPr>
        <w:t xml:space="preserve"> un 19.</w:t>
      </w:r>
      <w:r w:rsidR="00000000" w:rsidRPr="00000000" w:rsidDel="00000000">
        <w:rPr>
          <w:vertAlign w:val="superscript"/>
          <w:rtl w:val="0"/>
        </w:rPr>
        <w:t xml:space="preserve">3</w:t>
      </w:r>
      <w:r w:rsidR="00000000" w:rsidRPr="00000000" w:rsidDel="00000000">
        <w:rPr>
          <w:rtl w:val="0"/>
        </w:rPr>
        <w:t xml:space="preserve"> punktā noteikto kārtību un piemērot šo noteikumu 21. un 22. pielikumā norādītos koeficientus. Šo noteikumu 21. pielikumā norādītos koeficientus var nepiemērot, ja tos atbilstoši ēku energoefektivitātes normatīvajiem aktiem noteicis neatkarīgs eksperts saskaņā ar standartu LVS EN 834+AC:2021 "Siltuma maksas sadalītāji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Dzīvojamās mājās, kurās siltumenerģijas uzskaiti (sadali) veic ar siltumenerģijas skaitītāju dzīvojamās mājas ievadā un  siltumenerģijas patēriņa noteikšanas sistēmu, personai, kura aprēķina maksājamās daļas apmēru, ir pienākums ievērot šo noteikumu 19.</w:t>
      </w:r>
      <w:r w:rsidR="00000000" w:rsidRPr="00000000" w:rsidDel="00000000">
        <w:rPr>
          <w:vertAlign w:val="superscript"/>
          <w:rtl w:val="0"/>
        </w:rPr>
        <w:t xml:space="preserve">6</w:t>
      </w:r>
      <w:r w:rsidR="00000000" w:rsidRPr="00000000" w:rsidDel="00000000">
        <w:rPr>
          <w:rtl w:val="0"/>
        </w:rPr>
        <w:t xml:space="preserve"> punktā noteikto kārtību un piemērot šo noteikumu 21. un 22. pielikumā norādītos koeficientus. Šo noteikumu 21. pielikumā norādītos koeficientus var nepiemērot, ja tos atbilstoši ēku energoefektivitātes normatīvajiem aktiem noteicis neatkarīgs eksperts saskaņā ar standartu LVS EN 834+AC:2021 "Siltuma maksas sadalītāji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Siltumenerģijas uzskaites (sadales) iespēja un šo noteikumu pielikumos vai cita saskaņā ar šo noteikumu 23. punktu noteiktā metodika nav izmantojama un maksājamā daļa par siltumenerģijas patēriņu dzīvoklī aprēķināma pēc metodikas,  kuru izmantoja pirms individuālā siltumenerģijas patēriņa ierīču uzstādīšanas dzīvokļos,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dzīvojamā mājā individuālā siltumenerģijas patēriņa ierīces netiek uzstādītas vairāk par 70 % no kopējā dzīvokļu īpašumu skaita;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ierīce, ar kuru veicama attālinātā informācijas nolasīšana, nav marķēta ar CE atbilstības marķējumu un nav veikta produkta atbilstības novērtēšana atbilstoši normatīvajam aktam par radioiekārtu atbilstības novērtēšanu, piedāvāšanu tirgū, uzstādīšanu, lietošanu un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nav nodrošināta individuālā siltumenerģijas patēriņa regulēšanas iespēja dzīvokļos, nedzīvojamās telpās un mākslinieka darbnīcās;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netiek izmantoti šo noteikumu 21. un 22. pielikumā norādītie koeficienti,  izņemot šo noteikumu 32. punktā minētos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2023. gada 13. septembra Direktīvas (ES) 2023/1791 par energoefektivitāti un ar ko groza Regulu (ES) 2023/955 (pārstrādātā redakcija)."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apkurināmās platības kvadrātmetriem".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sadala proporcionāli platībai".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sadala uz dzīvojamās ēkas īpašumu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pieņem kā konstantu vērtību, kas tiek sadalīta atbilstoši dzīvokļu, nedzīvojamo telpu un mākslinieka darbnīcu skaitam".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7.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pieņem kā konstantu vērtību, to sadalot atbilstoši dzīvokļu, nedzīvojamo telpu un mākslinieka darbnīcu skaitam".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9.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sadala uz dzīvojamās ēkas īpašumu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10.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pieņem kā konstantu vērtību un sadala atbilstoši dzīvokļu, nedzīvojamo telpu un mākslinieka darbnīcu skaitam".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13.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siltumenerģijas skaitītājiem dzīvokļos, nedzīvojamās telpās vai mākslinieka darbnīcās un karstā ūdens cirkulāciju pieņem kā konstantu vērtību un sadala to atbilstoši dzīvokļu, nedzīvojamo telpu un mākslinieka darbnīcu skaitam".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2</w:t>
      </w:r>
      <w:r w:rsidR="00000000" w:rsidRPr="00000000" w:rsidDel="00000000">
        <w:rPr>
          <w:rtl w:val="0"/>
        </w:rPr>
        <w:t xml:space="preserve"> pielikumu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3</w:t>
      </w:r>
      <w:r w:rsidR="00000000" w:rsidRPr="00000000" w:rsidDel="00000000">
        <w:rPr>
          <w:rtl w:val="0"/>
        </w:rPr>
        <w:t xml:space="preserve"> pielikumu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14.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15.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skaitītāju dzīvojamās mājas apkurei patērētās siltumenerģijas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16.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siltuma maksas sadalītājiem dzīvokļos, nedzīvojamās telpās vai mākslinieka darbnīcās".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17.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siltumenerģijas skaitītājiem dzīvokļos, nedzīvojamās telpās vai mākslinieka darbnīcās".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18.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ja siltumenerģiju uzskaita ar siltumenerģijas skaitītāju dzīvojamās mājas ievadā".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20.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ja siltumenerģiju uzskaita ar siltumenerģijas skaitītāju dzīvojamās mājas ievadā un siltumenerģijas skaitītājiem dzīvokļos, nedzīvojamās telpās vai mākslinieka darbnīcās".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noteikumu_(grozījumu)_projekts_24-TA-729.docx</dc:title>
</cp:coreProperties>
</file>

<file path=docProps/custom.xml><?xml version="1.0" encoding="utf-8"?>
<Properties xmlns="http://schemas.openxmlformats.org/officeDocument/2006/custom-properties" xmlns:vt="http://schemas.openxmlformats.org/officeDocument/2006/docPropsVTypes"/>
</file>