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siltumenerģijas patēriņa veidam (apkure), ja siltumenerģiju uzskaita ar siltumenerģijas skaitītāju dzīvojamās mājas ievadā un siltuma maksas sadalītājiem dzīvokļos, nedzīvojamās telpās vai mākslinieka darbnīcās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6762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Apkurei patērēto siltumenerģiju apkures norēķina sezonā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50495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saskaņā ar šo noteikumu 21.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Koplietošanas telpu apkurei patērētās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43827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Dzīvokļu, mākslinieka darbnīcu vai nedzīvojamo telpu patērētās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52525" cy="16192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152525" cy="16192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Dzīvokļu, mākslinieka darbnīcu vai nedzīvojamo telpu apkurei patērētās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1619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181100" cy="1619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16192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71575" cy="16192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Apkures sezonas norēķina periodā siltumenerģijas daudzumu koplietošanas telpu apkurei, kas attiecināms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247649"/>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143000" cy="247649"/>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sezonas norēķina periodā maksu par koplietošanas telpu apkures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81300" cy="1809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781300" cy="1809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Apkures sezonā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1619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524000" cy="16192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Lai noteiktu samērīgu dzīvokļu, mākslinieka darbnīcu un nedzīvojamo telpu maksājamo daļu, persona, kura aprēķina maksājamās daļas apmēru, piemēro šo noteikumu 22.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1619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647700" cy="16192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norēķina perioda apkuri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 dzīvojamās mājas kopējās apkures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1809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228725" cy="1809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1714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438275" cy="1714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1714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562100" cy="1714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noteikumu_(grozījumu)_projekts_p10_24-TA-729.docx</dc:title>
</cp:coreProperties>
</file>

<file path=docProps/custom.xml><?xml version="1.0" encoding="utf-8"?>
<Properties xmlns="http://schemas.openxmlformats.org/officeDocument/2006/custom-properties" xmlns:vt="http://schemas.openxmlformats.org/officeDocument/2006/docPropsVTypes"/>
</file>