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ja siltumenerģiju uzskaita ar siltumenerģijas skaitītāju dzīvojamās mājas ievadā un ar siltumenerģijas patēriņa noteikšanas sistēmu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apkurei patērētās siltumenerģijas daudzums (MWh), kas dzīvokļos, mākslinieka darbnīcās un nedzīvojamās telpās uzskaitīts, pielietojot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Ja veidojas starpība starp mājas siltummezglā uzstādītā siltumenerģijas skaitītāja ar siltumenerģijas patēriņa noteikšanas sistēmu dzīvokļos, nedzīvojamās telpās un mākslinieka darbnīcās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izmantojot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 </w:t>
      </w:r>
      <w:r w:rsidR="00000000" w:rsidRPr="00000000" w:rsidDel="00000000">
        <w:rPr>
          <w:rtl w:val="0"/>
        </w:rPr>
        <w:t xml:space="preserve">–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 </w:t>
      </w:r>
      <w:r w:rsidR="00000000" w:rsidRPr="00000000" w:rsidDel="00000000">
        <w:rPr>
          <w:rtl w:val="0"/>
        </w:rPr>
        <w:t xml:space="preserve">–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 par norēķina perioda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noteikumu_(grozījumu)_projekts_p11_24-TA-729.docx</dc:title>
</cp:coreProperties>
</file>

<file path=docProps/custom.xml><?xml version="1.0" encoding="utf-8"?>
<Properties xmlns="http://schemas.openxmlformats.org/officeDocument/2006/custom-properties" xmlns:vt="http://schemas.openxmlformats.org/officeDocument/2006/docPropsVTypes"/>
</file>