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sadala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sagatavošanai vasaras sezonas norēķina periodā aprēķina atbilstoši šīs metodikas 4. punktam, bet apkures sezonas norēķina periodā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norēķina periodā saskaņā ar skaitītāja rādījumiem pirms siltummaiņa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norēķina periodā patērēto karsto ūdeni dzīvoklī, mākslinieka darbnīcā vai nedzīvojamā telpā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sagatavošanai,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un karstā ūdens cirkulācijai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21.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Koplietošanas telpu apkures un karstā ūdens cirkulācijai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954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620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1811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apkures sezonas norēķina periodā dzīvokļos, mākslinieka darbnīcās vai nedzīvojamās telpās patērētās siltumenerģijas daudzums,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siltumenerģijas daudzumu, kas izmantots karstā ūdens cirkulācijai un koplietošanas telpu apkurei un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81075" cy="3905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koplietošanas telpu apkures un karstā ūdens cirkulācijas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3143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771775" cy="3143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konkrēto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periodā maksu par dzīvokļa, mākslinieka darbnīcas vai nedzīvojamās telpas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75260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Lai noteiktu samērīgu dzīvokļu, mākslinieka darbnīcu un nedzīvojamo telpu maksājamo daļu, persona, kura aprēķina maksājamās daļas apmēru, piemēro šo noteikumu 22.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4777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karstā ūdens cirkulāciju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000125" cy="28575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666750" cy="38100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019174" cy="285750"/>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914525" cy="31432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9335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22872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dzīvoklim, mākslinieka darbnīcai vai nedzīvojamai telpai, kas atvienota no mājas kopējās apkures un karstā ūdens apgādes sistēmas, atbilstoši neatkarīga eksperta veiktajam aprēķinam vai dzīvojamās mājas īpašnieku lēmumam (MWh)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patērētās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438275"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Siltumenerģijas kopējo daudzumu, kas attiecināms uz dzīvojamās mājas kopējai apkures un karstā ūdens apgādes sistēmai pievienotajiem dzīvokļiem, nedzīvojamām telpām vai mākslinieka darbnīcām,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62100"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noteikumu_(grozījumu)_projekts_p3_24-TA-729.docx</dc:title>
</cp:coreProperties>
</file>

<file path=docProps/custom.xml><?xml version="1.0" encoding="utf-8"?>
<Properties xmlns="http://schemas.openxmlformats.org/officeDocument/2006/custom-properties" xmlns:vt="http://schemas.openxmlformats.org/officeDocument/2006/docPropsVTypes"/>
</file>