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ar siltumenerģijas skaitītājiem dzīvokļos, nedzīvojamās telpās vai mākslinieka darbnīcās un karstā ūdens cirkulāciju sadala uz kvadrātmetriem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 saskaņā ar šo noteikumu 21.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22.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907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907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norēķina periodā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810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noteikumu_(grozījumu)_projekts_p4_24-TA-729.docx</dc:title>
</cp:coreProperties>
</file>

<file path=docProps/custom.xml><?xml version="1.0" encoding="utf-8"?>
<Properties xmlns="http://schemas.openxmlformats.org/officeDocument/2006/custom-properties" xmlns:vt="http://schemas.openxmlformats.org/officeDocument/2006/docPropsVTypes"/>
</file>