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28.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69</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15.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524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Metodika maksājamās daļas noteikšanai par siltumenerģiju atbilstoši ēkas siltumenerģijas patēriņa veidam (apkure, karstā ūdens nodrošināšana, karstā ūdens cirkulācija), ja siltumenerģiju uzskaita ar siltumenerģijas skaitītāju dzīvojamās mājas ievadā un siltumenerģijas skaitītājiem dzīvokļos, nedzīvojamās telpās vai mākslinieka darbnīcās un karstā ūdens cirkulāciju sadala uz dzīvojamās ēkas īpašumu skaitu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nosaka, pamatojoties uz dzīvokļos, mākslinieka darbnīcās un nedzīvojamās telpās uzstādītiem individuāliem apkures skaitītājiem: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7152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7152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kas uzskaitīts ar dzīvokļos, mākslinieka darbnīcās un nedzīvojamās telpās uzstādītiem individuāliem skaitītājiem (MWh);</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81075"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981075"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kas uzskaitīts ar dzīvokļos, mākslinieka darbnīcās un nedzīvojamās telpās uzstādītiem individuāliem skaitītājiem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kas uzskaitīts ar siltumenerģijas skaitītāju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ar siltumenerģijas skaitītājiem,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1 </w:t>
      </w:r>
      <w:r w:rsidR="00000000" w:rsidRPr="00000000" w:rsidDel="00000000">
        <w:rPr>
          <w:rtl w:val="0"/>
        </w:rPr>
        <w:t xml:space="preserve">1. saskaņā ar šo noteikumu 21.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1 </w:t>
      </w:r>
      <w:r w:rsidR="00000000" w:rsidRPr="00000000" w:rsidDel="00000000">
        <w:rPr>
          <w:rtl w:val="0"/>
        </w:rPr>
        <w:t xml:space="preserve">2. neatkarīgs eksperts saskaņā ar standartu LVS EN 834:2013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47749"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047749"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kas uzskaitīts ar siltumenerģijas skaitītāju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Lai noteiktu samērīgu dzīvokļu, mākslinieka darbnīcu un nedzīvojamo telpu maksājamo daļu, persona, kura aprēķina maksājamās daļas apmēru, piemēro šo noteikumu 22. pielikumā norādītās korekcijas koeficientu vērtības, ņemot vērā dzīvokļu, nedzīvojamo telpu un mākslinieka darbnīcu izvietojumu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76375" cy="2857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476375" cy="2857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3524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628775" cy="3524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w:t>
      </w:r>
      <w:r w:rsidR="00000000" w:rsidRPr="00000000" w:rsidDel="00000000">
        <w:rPr>
          <w:rtl w:val="0"/>
        </w:rPr>
        <w:t xml:space="preserve"> – uzsildītā ūdens temperatūra pēc karstā ūdens siltummaiņa vasaras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pirms karstā ūdens siltummaiņa vasaras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49542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657350" cy="361950"/>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pēc karstā ūdens siltummaiņa apkures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pirms karstā ūdens siltummaiņa apkures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2419350"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62125"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762125"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81175"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781175"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kas uzskaitīts ar dzīvokļos, mākslinieka darbnīcās un nedzīvojamās telpās uzstādītiem individuāliem skaitītājiem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(MWh)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mājas kopējo platību, uz kuru attiecināma karstā ūdens cirkulācija,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028700" cy="29527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vertAlign w:val="subscript"/>
          <w:rtl w:val="0"/>
        </w:rPr>
        <w:t xml:space="preserve">.</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vertAlign w:val="subscript"/>
          <w:rtl w:val="0"/>
        </w:rPr>
        <w:t xml:space="preserve">.</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karstā ūdens cirkulācijai patērētās siltumenerģijas daudzumu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9052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666750" cy="39052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norēķina periodā maksu par karstā ūdens cirkulāciju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28575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990599" cy="285750"/>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 norēķina periodā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6215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962150"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247775"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maksu par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00125" cy="285750"/>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000125" cy="285750"/>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kopējo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viena dzīvokļa, mākslinieka darbnīcas vai nedzīvojamās telpas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4290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666750" cy="342900"/>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kopējais dzīvokļu, mākslinieka darbnīcu un nedzīvojamo telpu skaits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28575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990599" cy="285750"/>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90675" cy="29527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590675" cy="29527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vertAlign w:val="subscript"/>
          <w:rtl w:val="0"/>
        </w:rPr>
        <w:t xml:space="preserve">.</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Norēķina periodā aprēķināto daļu no ēkas kopējā siltumenerģijas patēriņa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dzīvojamās mājas īpašnieku lēmumam, kurā ir noteikta no apkures,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228725" cy="29527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438275" cy="295275"/>
                    </a:xfrm>
                    <a:prstGeom prst="rect"/>
                    <a:ln/>
                  </pic:spPr>
                </pic:pic>
              </a:graphicData>
            </a:graphic>
          </wp:inline>
        </w:drawing>
      </w:r>
      <w:r w:rsidR="00000000" w:rsidRPr="00000000" w:rsidDel="00000000">
        <w:rPr>
          <w:rtl w:val="0"/>
        </w:rPr>
        <w:t xml:space="preserve">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562100" cy="295275"/>
                    </a:xfrm>
                    <a:prstGeom prst="rect"/>
                    <a:ln/>
                  </pic:spPr>
                </pic:pic>
              </a:graphicData>
            </a:graphic>
          </wp:inline>
        </w:drawing>
      </w:r>
      <w:r w:rsidR="00000000" w:rsidRPr="00000000" w:rsidDel="00000000">
        <w:rPr>
          <w:rtl w:val="0"/>
        </w:rPr>
        <w:t xml:space="preserve">   (26)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vertAlign w:val="subscript"/>
          <w:rtl w:val="0"/>
        </w:rPr>
        <w:t xml:space="preserve">.</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noteikumu_(grozījumu)_projekts_p5_24-TA-729.docx</dc:title>
</cp:coreProperties>
</file>

<file path=docProps/custom.xml><?xml version="1.0" encoding="utf-8"?>
<Properties xmlns="http://schemas.openxmlformats.org/officeDocument/2006/custom-properties" xmlns:vt="http://schemas.openxmlformats.org/officeDocument/2006/docPropsVTypes"/>
</file>