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Kredītiestāžu likumā (Latvijas Republikas Saeimas un Ministru Kabineta Ziņotājs, 1995, 23. nr.; 1996, 9., 14., 23. nr.; 1997, 23. nr.; 1998, 13. nr.; 2000, 13. nr.; 2002, 10., 23. nr.; 2003, 14. nr.; 2004, 2., 12., 23. nr.; 2005, 13., 14. nr.; 2006, 15. nr.; 2007, 7., 12. nr.; 2008, 14., 23. nr.; 2009, 6., 7., 17., 22. nr.; Latvijas Vēstnesis, 2010, 23., 51./52., 160. nr.; 2011, 4. nr.; 2012, 50., 56., 92. nr.; 2013, 61., 106., 193. nr.; 2014, 92. nr.; 2015, 29., 97., 124., 140., 248., 251. nr.; 2016, 117., 241. nr.; 2017, 152., 222. nr.; 2018, 45., 225. nr.; 2019, 52., 129., 259.A nr.; 2020, 123., 138. nr.; 2021, 22., 84.B, 110., 121.B, 193., 200. nr.; 2022, 94., 204. nr.; 2023, 118. nr.; 2024, 38., 110., 120.A, 128.A, 193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34.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pantu ar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"(1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Kredītiestāde izveido un pārvalda tīklu un informācijas sistēmu atbilstoši Eiropas Parlamenta un Padomes 2022. gada 14. decembra regulas (ES) 2022/2554 par finanšu nozares digitālās darbības noturību un ar ko groza regulas (EK) Nr. 1060/2009, (ES) Nr. 648/2012, (ES) Nr. 600/2014, (ES) Nr. 909/2014 un (ES) 2016/1011 (turpmāk – Regula Nr. 2022/2554) un Finanšu tirgus digitālās darbības noturības un mākslīgā intelekta izmantošanas likuma prasībām."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101.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panta pirmo daļu ar 4.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"4) riskus, kas konstatēti digitālās darbības noturības testēšanā saskaņā ar Regulas Nr. 2022/2554 IV nodaļu."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informatīvo atsauci uz Eiropas Savienības direktīvām ar 32.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"32) Eiropas Parlamenta un Padomes 2022. gada 14. decembra direktīvas (ES) 2022/2556, ar ko groza direktīvas 2009/65/EK, 2009/138/EK, 2011/61/ES, 2013/36/ES, 2014/59/ES, 2014/65/ES, (ES) 2015/2366 un (ES) 2016/2341 attiecībā uz finanšu nozares digitālās darbības noturību."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24-TA-2436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24-TA-2436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