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Autopārvadājumu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Autopārvadājumu likumā (Latvijas Republikas Saeimas un Ministru Kabineta Ziņotājs, 1995, 20. nr.; 1997, 8. nr.; 1998, 24. nr.; 1999, 21. nr.; 2001, 1., 12. nr.; 2002, 12. nr.; 2003, 23. nr.; 2004, 10. nr.; 2005, 2., 12. nr.; 2006, 1., 15. nr.; 2007, 10., 15. nr.; 2008, 3., 24. nr.; Latvijas Vēstnesis, 2010, 174., 206. nr.; 2011, 80. nr.; 2013, 40. nr.; 2015, 91. nr.; 2017, 128., 203. nr.; 2019, 129. nr.; 2020, 123. nr.; 2021, 27. nr.; 2022, 50.A., 204. nr.; 2024, 70.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Pavadzīmi var noformēt elektroniskā formātā, ja tiek nodrošināta tajā ietvertās informācijas pieejamība, nemainīgums un iespēja identificēt pavadzīmes noformētāju, kā arī tajā veiktās izmaiņas. Starptautiskajos kravu autopārvadājumos elektronisko pavadzīmi noformē atbilstoši normatīvo aktu prasībām par elektronisko kravas starptautisko autopārvadājumu līgumu (e-CMR). Elektroniskā formātā noformētai pavadzīmei ir tāds pats juridiskais spēks kā papīra formātā noformētai pavadzīmei.";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Ja normatīvajos aktos noteikto kravu pārvadājumu informāciju pārvadātājs kompetentajai iestādei dara pieejamu elektroniskā formātā saskaņā ar Eiropas Parlamenta un Padomes Regulu (ES) 2020/1056 par elektronisko kravu pārvadājumu informāciju, informācijas apriti nodrošina, izmantojot eFTI atbilstoši minētajai regulai un uz tās pamata pieņemtajiem Eiropas Savienības tiesību aktiem.".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29.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Pārvadātājs, kas reģistrēts kā individuālais komersants, pasažieru komercpārvadājumu veikšanai ar vieglo automobili var izmantot transportlīdzekli, kuram kā turētājs reģistrēta fiziskā persona, kura ir pieteikusi šī komersanta ierakstīšanu komercreģistrā, ja ir saņemta vieglā automobiļa īpašnieka piekrišana vieglā automobiļa izmantošanai pasažieru komercpārvadājumiem.".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30. pantu ar trīspadsmito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Regulārie un neregulārie starptautiskie pārvadājumi uz un no Krievijas Federācijas un Baltkrievijas Republikas vai starptautiskie pārvadājumi tranzītā caur Latvijas Republikas teritoriju uz un no Krievijas Federācijas vai Baltkrievijas Republikas ir aizliegti."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54. un 55.punktu šādā redakcijā: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 Šā likuma 29.panta 4.</w:t>
      </w:r>
      <w:r w:rsidR="00000000" w:rsidRPr="00000000" w:rsidDel="00000000">
        <w:rPr>
          <w:vertAlign w:val="superscript"/>
          <w:rtl w:val="0"/>
        </w:rPr>
        <w:t xml:space="preserve">1</w:t>
      </w:r>
      <w:r w:rsidR="00000000" w:rsidRPr="00000000" w:rsidDel="00000000">
        <w:rPr>
          <w:rtl w:val="0"/>
        </w:rPr>
        <w:t xml:space="preserve"> daļa stājas spēkā 2027.gada 1.jūlijā.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Šā likuma 30.panta trīspadsmitā daļa stājas spēkā 2027.gada 10.janvārī.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25-TA-1072</w:t>
    </w:r>
    <w:r>
      <w:br/>
    </w:r>
    <w:r w:rsidR="00000000" w:rsidRPr="00000000" w:rsidDel="00000000">
      <w:rPr>
        <w:rtl w:val="0"/>
      </w:rPr>
      <w:t xml:space="preserve">Izdrukāts 22.09.2026. 09.00 - 5.0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25-TA-1072</w:t>
    </w:r>
    <w:r>
      <w:br/>
    </w:r>
    <w:r w:rsidR="00000000" w:rsidRPr="00000000" w:rsidDel="00000000">
      <w:rPr>
        <w:rtl w:val="0"/>
      </w:rPr>
      <w:t xml:space="preserve">Izdrukāts 22.09.2026. 09.00 - 5.0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likumprojekts_(grozījumi)_25-TA-1072.docx</dc:title>
</cp:coreProperties>
</file>

<file path=docProps/custom.xml><?xml version="1.0" encoding="utf-8"?>
<Properties xmlns="http://schemas.openxmlformats.org/officeDocument/2006/custom-properties" xmlns:vt="http://schemas.openxmlformats.org/officeDocument/2006/docPropsVTypes"/>
</file>