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505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23. jūlijā (prot. Nr. 30 52.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3.1.1. specifiskā atbalsta mērķa "Attīstīt ilgtspējīgu, pret klimatu izturīgu, inteliģentu, drošu un vairākveidu TEN-T infrastruktūru" 3.1.1.4. pasākuma "Rīgas pilsētas transporta infrastruktūras attīstība"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w:t>
      </w:r>
      <w:r w:rsidR="00000000" w:rsidRPr="00000000" w:rsidDel="00000000">
        <w:rPr>
          <w:rStyle w:val="paragraph"/>
          <w:i w:val="1"/>
          <w:rtl w:val="0"/>
        </w:rPr>
        <w:t xml:space="preserve"> 19. panta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prioritārā virziena "Ilgtspējīga TEN-T infrastruktūra" 3.1.1. specifiskā atbalsta mērķa "Attīstīt ilgtspējīgu, pret klimatu izturīgu, inteliģentu, drošu un vairākveidu TEN-T infrastruktūru" 3.1.1.4. pasākumu "Rīgas pilsētas transporta infrastruktūras attīstība”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Kohēzijas fonda projekta (turpmāk – projekts) iesniedzējam;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Rīgas valstspilsētas transporta infrastruktūras izbūve, pārbūve un atjaunošana, nodrošinot starptautisko savienojamību un iekļaušanos TEN-T tīklā, novēršot infrastruktūras pārrāvumus esošo pilsētas maģistrālo ielu tīklā un uzlabojot transporta infrastruktūras tehniskos parametrus un satiksmes drošību.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 transporta infrastruktūras lietotāji.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plānotais kopējais finansējums ir ne mazāks kā 84 098 699 </w:t>
      </w:r>
      <w:r w:rsidR="00000000" w:rsidRPr="00000000" w:rsidDel="00000000">
        <w:rPr>
          <w:i w:val="1"/>
          <w:rtl w:val="0"/>
        </w:rPr>
        <w:t xml:space="preserve">euro</w:t>
      </w:r>
      <w:r w:rsidR="00000000" w:rsidRPr="00000000" w:rsidDel="00000000">
        <w:rPr>
          <w:rtl w:val="0"/>
        </w:rPr>
        <w:t xml:space="preserve"> (tai skaitā elastības finansējuma apmērs – 13 291 762 </w:t>
      </w:r>
      <w:r w:rsidR="00000000" w:rsidRPr="00000000" w:rsidDel="00000000">
        <w:rPr>
          <w:i w:val="1"/>
          <w:rtl w:val="0"/>
        </w:rPr>
        <w:t xml:space="preserve">euro</w:t>
      </w:r>
      <w:r w:rsidR="00000000" w:rsidRPr="00000000" w:rsidDel="00000000">
        <w:rPr>
          <w:rtl w:val="0"/>
        </w:rPr>
        <w:t xml:space="preserve">), tai skaitā Kohēzijas fonda finansējums 71 483 894 </w:t>
      </w:r>
      <w:r w:rsidR="00000000" w:rsidRPr="00000000" w:rsidDel="00000000">
        <w:rPr>
          <w:i w:val="1"/>
          <w:rtl w:val="0"/>
        </w:rPr>
        <w:t xml:space="preserve">euro</w:t>
      </w:r>
      <w:r w:rsidR="00000000" w:rsidRPr="00000000" w:rsidDel="00000000">
        <w:rPr>
          <w:rtl w:val="0"/>
        </w:rPr>
        <w:t xml:space="preserve"> (tai skaitā elastības finansējuma apmērs – 11 297 998 </w:t>
      </w:r>
      <w:r w:rsidR="00000000" w:rsidRPr="00000000" w:rsidDel="00000000">
        <w:rPr>
          <w:i w:val="1"/>
          <w:rtl w:val="0"/>
        </w:rPr>
        <w:t xml:space="preserve">euro</w:t>
      </w:r>
      <w:r w:rsidR="00000000" w:rsidRPr="00000000" w:rsidDel="00000000">
        <w:rPr>
          <w:rtl w:val="0"/>
        </w:rPr>
        <w:t xml:space="preserve">) un nacionālais līdzfinansējums (pašvaldību finansējums) – ne mazāks kā 12 614 805 </w:t>
      </w:r>
      <w:r w:rsidR="00000000" w:rsidRPr="00000000" w:rsidDel="00000000">
        <w:rPr>
          <w:i w:val="1"/>
          <w:rtl w:val="0"/>
        </w:rPr>
        <w:t xml:space="preserve">euro</w:t>
      </w:r>
      <w:r w:rsidR="00000000" w:rsidRPr="00000000" w:rsidDel="00000000">
        <w:rPr>
          <w:rtl w:val="0"/>
        </w:rPr>
        <w:t xml:space="preserve"> (tai skaitā elastības finansējuma apmērs – 1 993 764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Maksimālais attiecināmais Kohēzijas fonda finansējuma apmērs ir līdz 85 procentiem no projektā plānotā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Pieejamais kopējais attiecināmais finansējums līdz 2025. gada 31. decembrim, lai slēgtu vienošanos par projekta īstenošanu, ir ne mazāks kā 70 806 937 </w:t>
      </w:r>
      <w:r w:rsidR="00000000" w:rsidRPr="00000000" w:rsidDel="00000000">
        <w:rPr>
          <w:i w:val="1"/>
          <w:rtl w:val="0"/>
        </w:rPr>
        <w:t xml:space="preserve">euro</w:t>
      </w:r>
      <w:r w:rsidR="00000000" w:rsidRPr="00000000" w:rsidDel="00000000">
        <w:rPr>
          <w:rtl w:val="0"/>
        </w:rPr>
        <w:t xml:space="preserve">, tai skaitā Eiropas Kohēzijas fonda finansējums ir 60 185 896 </w:t>
      </w:r>
      <w:r w:rsidR="00000000" w:rsidRPr="00000000" w:rsidDel="00000000">
        <w:rPr>
          <w:i w:val="1"/>
          <w:rtl w:val="0"/>
        </w:rPr>
        <w:t xml:space="preserve">euro </w:t>
      </w:r>
      <w:r w:rsidR="00000000" w:rsidRPr="00000000" w:rsidDel="00000000">
        <w:rPr>
          <w:rtl w:val="0"/>
        </w:rPr>
        <w:t xml:space="preserve">un nacionālais līdzfinansējums (pašvaldību līdzfinansējums) – ne mazāks kā 10 621 041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iesniedzējs projekta īstenošanai, tai skaitā elastības finansējuma priekšfinansēšanai, var piesaistīt papildu publiskos līdzekļus.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Atbildīgā iestāde pēc Eiropas Komisijas lēmuma par vidusposma pārskatu var ierosināt no 2026. gada 1. janvāra palielināt pasākumam pieejamo kopējo finansējumu līdz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minētajam plānotajam kopējam finansējuma apmēram, nepārsniedzot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noteikto maksimālo Kohēzijas fonda finansējuma apmēru.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ietvaros Kohēzijas fonda finansējumu piešķir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Pasākumu īsteno līdz 2029. gada 31. decembrim, sasniedzot šādus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jaunu vai modernizētu autoceļu garums – TEN-T – 3,5 km;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nacionālais rādītājs – izveidots viens jauns pilsētas infrastruktūras iztrūkstošais TEN-T tīkla posms.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minētie rādītāji ir sasniegti, kad tiek pabeigti projektā paredzētie būvdarbi, kas tiek pamatoti ar iesniegtiem būvdarbu pabeigšanu pamatojošiem dokumentiem, un objekti ir nodoti ekspluatācijā saskaņā ar būvniecības jomu reglamentējošajos normatīvajos aktos noteikto kārtību, un projekts ir pabeigts.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Pasākuma ietvaros atbildīgās iestādes funkcijas pilda Satiksmes ministrija.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iesniedzējs pasākuma ietvaros ir Rīgas valstspilsētas pašvaldība, kas pēc projekta apstiprināšanas ir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sagatavo un iesniedz sadarbības iestādei projekta iesniegumu saskaņā ar projekta iesniegumu atlases nolikuma prasībām. Projekta iesniegumam pievieno veikto izmaksu un ieguvumu analīzi. Projekta iesniegumu sadarbības iestādē iesniedz elektroniski, izmantojot Kohēzijas politikas fondu vadības informācijas sistēmu.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Projektā iekļauj atbalstāmās darbības, kas ir vērstas uz Rīgas valstspilsētas transporta infrastruktūras izbūvi, pārbūvi un atjaunošanu, nodrošinot integrētas transporta sistēmas veidošanu un uzlabojot transporta infrastruktūras tehniskos parametrus un satiksmes drošību.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Projektā neiekļauj darbības, kas nav vērstas uz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 mērķa sasniegšanu.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Pasākuma ietvaros ir attiecināmas šādas projekta tiešās attiecināmās izmaksas, kas ir tieši saistītas ar projekta īstenošanu un nepieciešamas projekta rezultātu sasniegšanai: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iesniegumu pamatojošās dokumentācijas sagatavošanas izmaksas (izņemot projekta iesnieguma veidlapas aizpildīšanas izmaksas), tai skaitā izmaksu un ieguvumu analīzes izstrādes izmaksas un tehniski ekonomiskā pamatojuma izstrāde;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vides aizsardzības obligāto prasību nodrošināšanai, tai skaitā ietekmes uz vidi novērtējuma izmaksas, ciktāl to paredz normatīvie akti vides aizsardzības 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zemes iegādes izmaksas, ja zemes iegāde ir tieši nepieciešama projektā paredzētās būvniecības īstenošanai, ne vairāk kā 10 procenti no attiecināmo izmaksu kopsummas;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būvlaukuma ierīkošanas un novākšanas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tiltu, satiksmes pārvadu, tuneļu (turpmāk – transportbūves) un ielu būvniecības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apbraucamo ielu būvniecības, nojaukšanas un uzturēšanas izmaksas transportbūvju un ielu būvniecības laikā;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 velosipēdu un gājēju ceļiem saistītās izmaksas, lai novērstu infrastruktūras pārrāvumus, ar nosacījumu, ka minētajām darbībām nav nepieciešama zemes iegāde un tās nedalāmi saistītas ar projekta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labiekārtošanas izmaksas, tai skaitā autobusu pieturvietu, apgaismojuma līniju izbūve, apzaļumošana, lietusūdens savākšanas un attīrīšanas iekārtu izbūve atbilstoši būvprojekta risinājumam;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ceļu satiksmes organizācijas tehnisko līdzekļu (piemēram, ceļa zīmes, luksofori, signālstabiņi, aizsargbarjeras, gājēju barjeras, vertikālie un horizontālie ceļa apzīmējumi) uzstādīšanas un atjaunošanas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satiksmes vadības aprīkojuma (piemēram, meteoroloģiskās stacijas un satiksmes uzskaites punkti, kas nepieciešami konkrētās transportbūves un ielu posma seguma stāvokļa un slodzes noteikšanai) uzstādīšanas un atjaunošanas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transportbūvju un ielu kompleksam piegulošo inženiertīklu būvniecības izmaksas. Izmaksas attiecināmas tikai gadījumā, ja tiek nodrošināts sertificēta būvinženiera ekspertīzes atzinums, kurā konstatēts, ka, projekta ietvaros veicot plānotos ieguldījumus noteiktās teritorijās, nav iespējams izvairīties no minētās infrastruktūras bojāšanas, pārbūves vai pārcelšanas, un ieguldījumi inženiertīklu pārbūvē tiek veikti, nemainot inženiertīklu tehniskos parametrus un neradot priekšrocības to īpašniekiem;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ceļu drošības audita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būvprojekta izstrādes un ar to saistīto būvekspertīžu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būvdarbu līgumcenu indeksācijas izmaksas atbilstoši normatīvajiem aktiem par publisko būvdarbu līgumos obligāti ietveramajiem noteikumiem un to saturu;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būvuzraudzības un autoruzraudzības izmaksas un attiecīgo būvspeciālistu normatīvajos aktos noteiktās obligātās apdrošināšanas izmaksas atbilstoši normatīvajiem aktiem būvspeciālistu un būvdarbu veicēju civiltiesiskās atbildības obligātās apdrošināšanas 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komunikācijas un vizuālās identitātes prasību nodrošināšanas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izdevumi neparedzētu izmaksu segšanai ne vairāk kā piecu procentu apmērā no kopējo tiešo attiecināmo izmaksu summas.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w:t>
      </w:r>
      <w:r w:rsidR="00000000" w:rsidRPr="00000000" w:rsidDel="00000000">
        <w:rPr>
          <w:rtl w:val="0"/>
        </w:rPr>
        <w:t xml:space="preserve">, </w:t>
      </w:r>
      <w:r w:rsidR="00000000" w:rsidRPr="00000000" w:rsidDel="00000000">
        <w:rPr>
          <w:rtl w:val="0"/>
        </w:rPr>
        <w:t xml:space="preserve">18.13.</w:t>
      </w:r>
      <w:r w:rsidR="00000000" w:rsidRPr="00000000" w:rsidDel="00000000">
        <w:rPr>
          <w:rtl w:val="0"/>
        </w:rPr>
        <w:t xml:space="preserve"> un </w:t>
      </w:r>
      <w:r w:rsidR="00000000" w:rsidRPr="00000000" w:rsidDel="00000000">
        <w:rPr>
          <w:rtl w:val="0"/>
        </w:rPr>
        <w:t xml:space="preserve">18.15. </w:t>
      </w:r>
      <w:r w:rsidR="00000000" w:rsidRPr="00000000" w:rsidDel="00000000">
        <w:rPr>
          <w:rtl w:val="0"/>
        </w:rPr>
        <w:t xml:space="preserve">apakšpunktā</w:t>
      </w:r>
      <w:r w:rsidR="00000000" w:rsidRPr="00000000" w:rsidDel="00000000">
        <w:rPr>
          <w:rtl w:val="0"/>
        </w:rPr>
        <w:t xml:space="preserve"> minētās izmaksas kopā nepārsniedz 10 procentus no projekta kopējām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Pievienotās vērtības nodokļa maksājumi, kas tiešā veidā saistīti ar projektu, ir attiecināmās izmaksas atbilstoši </w:t>
      </w:r>
      <w:r w:rsidR="00000000" w:rsidRPr="00000000" w:rsidDel="00000000">
        <w:rPr>
          <w:rtl w:val="0"/>
        </w:rPr>
        <w:t xml:space="preserve">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(turpmāk – regula 2021/1060), 64. panta 1. punkta "c" apakšpunktā minētajiem nosacījumiem, ja tos nevar atgūt atbilstoši normatīvajiem aktiem par pievienotās vērtības nodokli.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Izmaksas, kas saskaņā ar šiem noteikumiem nav iekļaujamas kā attiecināmās izmaksas, ir finansējamas ārpus projekta, tai skaitā izmaksas, kas pārsniedz šo noteikumu </w:t>
      </w:r>
      <w:r w:rsidR="00000000" w:rsidRPr="00000000" w:rsidDel="00000000">
        <w:rPr>
          <w:rtl w:val="0"/>
        </w:rPr>
        <w:t xml:space="preserve">18.3. apakšpunktā</w:t>
      </w:r>
      <w:r w:rsidR="00000000" w:rsidRPr="00000000" w:rsidDel="00000000">
        <w:rPr>
          <w:rtl w:val="0"/>
        </w:rPr>
        <w:t xml:space="preserve"> un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minētos izmaksu ierobežojumus.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īstenošanas gaitā radušās sadārdzinājuma izmaksas finansējuma saņēmējs sedz no saviem līdzekļiem.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Pasākuma ietvaros izmaksas ir attiecināmas no 2022. gada 25. novembra, izņemot šo noteikumu </w:t>
      </w:r>
      <w:r w:rsidR="00000000" w:rsidRPr="00000000" w:rsidDel="00000000">
        <w:rPr>
          <w:rtl w:val="0"/>
        </w:rPr>
        <w:t xml:space="preserve">18.1.</w:t>
      </w:r>
      <w:r w:rsidR="00000000" w:rsidRPr="00000000" w:rsidDel="00000000">
        <w:rPr>
          <w:rtl w:val="0"/>
        </w:rPr>
        <w:t xml:space="preserve"> un </w:t>
      </w:r>
      <w:r w:rsidR="00000000" w:rsidRPr="00000000" w:rsidDel="00000000">
        <w:rPr>
          <w:rtl w:val="0"/>
        </w:rPr>
        <w:t xml:space="preserve">18.13. </w:t>
      </w:r>
      <w:r w:rsidR="00000000" w:rsidRPr="00000000" w:rsidDel="00000000">
        <w:rPr>
          <w:rtl w:val="0"/>
        </w:rPr>
        <w:t xml:space="preserve">apakšpunktā</w:t>
      </w:r>
      <w:r w:rsidR="00000000" w:rsidRPr="00000000" w:rsidDel="00000000">
        <w:rPr>
          <w:rtl w:val="0"/>
        </w:rPr>
        <w:t xml:space="preserve"> minētās izmaksas, kas ir attiecināmas, ja tās veiktas pēc 2021. gada 1. janvāra.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Finansējuma saņēmējs projektu īsteno saskaņā ar noslēgto vienošanos par projekta īstenošanu,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projektā sasniegtajiem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minētajiem rādītājiem;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uzkrāj datus par laika ietaupījumu (dienas gadā) no uzlabotas transporta infrastruktūras;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uzkrāj datus par projekta ietekmi uz horizontālā principa "Vienlīdzība, iekļaušana, nediskriminācija un pamattiesību ievērošana" rādītāju – objektu skaits, kuros Kohēzijas fonda ieguldījumu rezultātā ir nodrošināta vides un informācijas pieejamība – un citiem horizontālo principu rādītājiem (ja attiecināms) un ievēro principus: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vienlīdzība, iekļaušana, nediskriminācija un pamattiesību ievērošana;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klimatdrošināšana;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nenodarīt būtisku kaitējumu;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sniedz sadarbības iestādei informāciju par šo noteikumu </w:t>
      </w:r>
      <w:r w:rsidR="00000000" w:rsidRPr="00000000" w:rsidDel="00000000">
        <w:rPr>
          <w:rtl w:val="0"/>
        </w:rPr>
        <w:t xml:space="preserve">25.3. </w:t>
      </w:r>
      <w:r w:rsidR="00000000" w:rsidRPr="00000000" w:rsidDel="00000000">
        <w:rPr>
          <w:rtl w:val="0"/>
        </w:rPr>
        <w:t xml:space="preserve">apakšpunktā</w:t>
      </w:r>
      <w:r w:rsidR="00000000" w:rsidRPr="00000000" w:rsidDel="00000000">
        <w:rPr>
          <w:rtl w:val="0"/>
        </w:rPr>
        <w:t xml:space="preserve"> minētajiem horizontālo principu rādītājiem vienlaikus ar informāciju par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minēto rādītāju vērtību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lai pasākuma ietvaros attiecināmās izmaksas nepārklātos ar citiem valsts un ārvalstu finanšu atbalsta instrumentiem, un novērš dubultā finansējuma risku;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sasniegto rezultātu ilgtspēju vismaz piecus gadus pēc projekta pabeigšanas;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projekta īstenošanas rezultātā radīto vērtību uzturēšanu, savlaicīgi plānojot nodilušo konstrukciju periodisku atjaunošanu un piešķirot finansējumu šiem darbiem turpmākos 20 gadus pēc projekta īstenošanas;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ka transporta infrastruktūras izbūve paredzēta finansējuma saņēmēja īpašumā vai valdījumā, vai turējumā esošajās zemes vienībās vai finansējuma saņēmējam ar īpašuma vai zemes vienību īpašnieku ir noslēgta atbilstoša vienošanās par īpašuma vai zemes vienību, kurās paredzēta transporta infrastruktūras izbūve, ilgtermiņa nomas vai lietojuma tiesībām vai apbūves tiesībām, kā arī būvniecības, lietošanas, uzturēšanas un attīstības (tai skaitā modernizēšanas, pārbūves) kārtību. Finansējuma saņēmēja tiesības uz konkrēto objektu vai īpašumu ir nostiprinātas Zemesgrāmatā;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komunikācijas un vizuālās identitātes prasību pasākumus saskaņā ar </w:t>
      </w:r>
      <w:r w:rsidR="00000000" w:rsidRPr="00000000" w:rsidDel="00000000">
        <w:rPr>
          <w:rtl w:val="0"/>
        </w:rPr>
        <w:t xml:space="preserve">regulas 2021/1060</w:t>
      </w:r>
      <w:r w:rsidR="00000000" w:rsidRPr="00000000" w:rsidDel="00000000">
        <w:rPr>
          <w:rtl w:val="0"/>
        </w:rPr>
        <w:t xml:space="preserve"> 47. un 50. pantu un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izstrādā Iekšējās kontroles sistēmu, ietverot tajā informāciju par interešu konflikta, krāpšanas, korupcijas risku un dubultā finansējuma novēršanas mehānismu;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nodrošina interešu konflikta neesību saskaņā ar </w:t>
      </w:r>
      <w:r w:rsidR="00000000" w:rsidRPr="00000000" w:rsidDel="00000000">
        <w:rPr>
          <w:rtl w:val="0"/>
        </w:rPr>
        <w:t xml:space="preserve">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r w:rsidR="00000000" w:rsidRPr="00000000" w:rsidDel="00000000">
        <w:rPr>
          <w:rtl w:val="0"/>
        </w:rPr>
        <w:t xml:space="preserve">, 61. pantā un normatīvajos aktos publisko iepirkumu jomā minētajām prasībām, kā arī paraksta interešu konflikta neesības apliecinājumu.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Finansējuma saņēmējs projekta īstenošanai nepieciešamo preču un pakalpojumu iegādi veic saskaņā ar normatīvajiem aktiem publisko iepirkumu jomā, īstenojot atklātu, pārredzamu, nediskriminējošu un konkurenci nodrošinošu konkursa procedūru. Atbalstāma ir vides prasību integrācija preču un pakalpojumu iepirkumos, kā arī vides pieejamības un izmantojamības nodrošināšana (zaļais publiskais iepirkums), kur tā ir attiecināma un atbilstoša ieguldījumu specifikai, lai īstenotu sociāli atbildīgu iepirkumu, kā arī piemēro inovatīvā publiskā iepirkuma nosacījumus, ja attiecināms.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Sadarbības iestāde, ja tai ir pieejami valsts budžeta līdzekļi, pamatojoties uz finansējuma saņēmēja rakstisku avansa pieprasījumu un izvērtējot plānotā avansa apmēru un tā pamatojumu, var piešķirt finansējuma saņēmējam avansu pēc vienošanās noslēgšanas par projekta īstenošanu. Finansējuma saņēmējs avansa pieprasījumu sagatavo un sadarbības iestāde apstiprina, ievērojot nosacījumu, ka plānotā avansa apmērs un tā pamatojums atbilst spējai to izlietot sešu mēnešu laikā saimnieciskā gada ietvaros (piemēram, projekta iesniedzējam ir pabeigts būvdarbu iepirkums vai noslēgts būvdarbu līgums). Finansējuma saņēmējam avansu var piešķirt līdz 50 procentiem no projektam piešķirtā Kohēzijas fonda finansējuma, ievērojot, ka avansu var izmaksāt vairākos maksājumos un avansa un starpposma maksājumu kopsumma nepārsniedz 90 procentus no projektam piešķirtā Kohēzijas fonda finansējuma.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Projekta īstenošanas vieta ir Rīgas valstspilsēta.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23-TA-1368</w:t>
    </w:r>
    <w:r>
      <w:br/>
    </w:r>
    <w:r w:rsidR="00000000" w:rsidRPr="00000000" w:rsidDel="00000000">
      <w:rPr>
        <w:rtl w:val="0"/>
      </w:rPr>
      <w:t xml:space="preserve">Izdrukāts 29.07.2026. 22.27 - 1.0.VK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23-TA-1368</w:t>
    </w:r>
    <w:r>
      <w:br/>
    </w:r>
    <w:r w:rsidR="00000000" w:rsidRPr="00000000" w:rsidDel="00000000">
      <w:rPr>
        <w:rtl w:val="0"/>
      </w:rPr>
      <w:t xml:space="preserve">Izdrukāts 29.07.2026. 22.27 - 1.0.VK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noteikumu_projekts_23-TA-1368.docx</dc:title>
</cp:coreProperties>
</file>

<file path=docProps/custom.xml><?xml version="1.0" encoding="utf-8"?>
<Properties xmlns="http://schemas.openxmlformats.org/officeDocument/2006/custom-properties" xmlns:vt="http://schemas.openxmlformats.org/officeDocument/2006/docPropsVTypes"/>
</file>