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Grozījums Ministru kabineta 2009. gada 27. oktobra noteikumos Nr. 1227 "Noteikumi par regulējamiem sabiedrisko pakalpojumu veidiem"</w:t>
      </w:r>
    </w:p>
    <w:p w:rsidP="00000000" w:rsidRDefault="00000000" w:rsidR="00000000" w:rsidRPr="00000000" w:rsidDel="00000000">
      <w:pPr>
        <w:pStyle w:val="paragraph"/>
        <w:contextualSpacing w:val="0"/>
        <w:jc w:val="right"/>
        <w:ind w:left="4820"/>
        <w:spacing w:lineRule="auto" w:line="240"/>
        <w:pBdr/>
      </w:pPr>
      <w:r w:rsidR="00000000" w:rsidRPr="00000000" w:rsidDel="00000000">
        <w:rPr>
          <w:rStyle w:val="paragraph"/>
          <w:rtl w:val="0"/>
        </w:rPr>
        <w:t xml:space="preserve"/>
      </w:r>
      <w:r w:rsidR="00000000" w:rsidRPr="00000000" w:rsidDel="00000000">
        <w:rPr>
          <w:rStyle w:val="paragraph"/>
          <w:i w:val="1"/>
          <w:rtl w:val="0"/>
        </w:rPr>
        <w:t xml:space="preserve">Izdoti saskaņā ar likuma “Par sabiedrisko pakalpojumu regulatoriem” 2.panta ceturto daļu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28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Izdarīt Ministru kabineta 2009. gada 27. oktobra noteikumos Nr. 1227 "Noteikumi par regulējamiem sabiedrisko pakalpojumu veidiem" (Latvijas Vēstnesis, 2009, 172. nr.; 2011, 44., 205. nr.; 2015, 40. nr.; 2016, 86., 174. nr.; 2019, 114. nr.; 2020, 79. nr.) šādu grozījumu:</w:t>
      </w:r>
    </w:p>
    <w:p w:rsidP="00000000" w:rsidRDefault="00000000" w:rsidR="00000000" w:rsidRPr="00000000" w:rsidDel="00000000">
      <w:pPr>
        <w:numPr>
          <w:ilvl w:val="1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izteikt 6. punktu šādā redakcijā:</w:t>
      </w:r>
    </w:p>
    <w:p w:rsidP="00000000" w:rsidRDefault="00000000" w:rsidR="00000000" w:rsidRPr="00000000" w:rsidDel="00000000">
      <w:pPr>
        <w:numPr>
          <w:ilvl w:val="2"/>
          <w:numId w:val="1"/>
        </w:numPr>
        <w:ind w:left="0" w:hanging="0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"6. Elektronisko sakaru nozarē nepieciešams regulēt:</w:t>
      </w:r>
    </w:p>
    <w:p w:rsidP="00000000" w:rsidRDefault="00000000" w:rsidR="00000000" w:rsidRPr="00000000" w:rsidDel="00000000">
      <w:pPr>
        <w:numPr>
          <w:ilvl w:val="2"/>
          <w:numId w:val="1"/>
        </w:numPr>
        <w:ind w:left="0" w:hanging="0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6.1. balss sakaru pakalpojumu;</w:t>
      </w:r>
    </w:p>
    <w:p w:rsidP="00000000" w:rsidRDefault="00000000" w:rsidR="00000000" w:rsidRPr="00000000" w:rsidDel="00000000">
      <w:pPr>
        <w:numPr>
          <w:ilvl w:val="2"/>
          <w:numId w:val="1"/>
        </w:numPr>
        <w:ind w:left="0" w:hanging="0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6.2. īsziņu pakalpojumu;</w:t>
      </w:r>
    </w:p>
    <w:p w:rsidP="00000000" w:rsidRDefault="00000000" w:rsidR="00000000" w:rsidRPr="00000000" w:rsidDel="00000000">
      <w:pPr>
        <w:numPr>
          <w:ilvl w:val="2"/>
          <w:numId w:val="1"/>
        </w:numPr>
        <w:ind w:left="0" w:hanging="0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6.3. interneta piekļuves pakalpojumu;</w:t>
      </w:r>
    </w:p>
    <w:p w:rsidP="00000000" w:rsidRDefault="00000000" w:rsidR="00000000" w:rsidRPr="00000000" w:rsidDel="00000000">
      <w:pPr>
        <w:numPr>
          <w:ilvl w:val="2"/>
          <w:numId w:val="1"/>
        </w:numPr>
        <w:ind w:left="0" w:hanging="0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6.4. datu pārraides pakalpojumu;</w:t>
      </w:r>
    </w:p>
    <w:p w:rsidP="00000000" w:rsidRDefault="00000000" w:rsidR="00000000" w:rsidRPr="00000000" w:rsidDel="00000000">
      <w:pPr>
        <w:numPr>
          <w:ilvl w:val="2"/>
          <w:numId w:val="1"/>
        </w:numPr>
        <w:ind w:left="0" w:hanging="0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6.5. radio programmu izplatīšanas pakalpojumu;</w:t>
      </w:r>
    </w:p>
    <w:p w:rsidP="00000000" w:rsidRDefault="00000000" w:rsidR="00000000" w:rsidRPr="00000000" w:rsidDel="00000000">
      <w:pPr>
        <w:numPr>
          <w:ilvl w:val="2"/>
          <w:numId w:val="1"/>
        </w:numPr>
        <w:ind w:left="0" w:hanging="0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6.6. televīzijas programmu izplatīšanas pakalpojumu;</w:t>
      </w:r>
    </w:p>
    <w:p w:rsidP="00000000" w:rsidRDefault="00000000" w:rsidR="00000000" w:rsidRPr="00000000" w:rsidDel="00000000">
      <w:pPr>
        <w:numPr>
          <w:ilvl w:val="2"/>
          <w:numId w:val="1"/>
        </w:numPr>
        <w:ind w:left="0" w:hanging="0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6.7. piekļuvi;</w:t>
      </w:r>
    </w:p>
    <w:p w:rsidP="00000000" w:rsidRDefault="00000000" w:rsidR="00000000" w:rsidRPr="00000000" w:rsidDel="00000000">
      <w:pPr>
        <w:numPr>
          <w:ilvl w:val="2"/>
          <w:numId w:val="1"/>
        </w:numPr>
        <w:ind w:left="0" w:hanging="0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6.8. starpsavienojumu;</w:t>
      </w:r>
    </w:p>
    <w:p w:rsidP="00000000" w:rsidRDefault="00000000" w:rsidR="00000000" w:rsidRPr="00000000" w:rsidDel="00000000">
      <w:pPr>
        <w:numPr>
          <w:ilvl w:val="2"/>
          <w:numId w:val="1"/>
        </w:numPr>
        <w:ind w:left="0" w:hanging="0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6.9. nomāto līniju pakalpojumu."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28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Noteikumi stājas spēkā vienlaikus ar Elektronisko sakaru likumu.</w:t>
      </w:r>
    </w:p>
    <w:p w:rsidP="00000000" w:rsidRDefault="00000000" w:rsidR="00000000" w:rsidRPr="00000000" w:rsidDel="00000000">
      <w:pPr>
        <w:contextualSpacing w:val="0"/>
        <w:spacing w:before="480" w:beforeAutospacing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Layout w:type="fixed"/>
        <w:tblLook w:val="0600"/>
      </w:tblPr>
      <w:tblGrid>
        <w:gridCol w:w="2721"/>
        <w:gridCol w:w="4200"/>
        <w:gridCol w:w="2721"/>
        <w:tblGridChange w:id="0">
          <w:tblGrid>
            <w:gridCol w:w="2721"/>
            <w:gridCol w:w="4200"/>
            <w:gridCol w:w="2721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lef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Ministru prezidents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sz w:val="24"/>
                <w:rtl w:val="0"/>
              </w:rPr>
              <w:t xml:space="preserve">(paraksts*)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righ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V. Uzvārds</w:t>
            </w:r>
          </w:p>
        </w:tc>
      </w:tr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lef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Ministrs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sz w:val="24"/>
                <w:rtl w:val="0"/>
              </w:rPr>
              <w:t xml:space="preserve">(paraksts*)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righ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V. Uzvārds</w:t>
            </w:r>
          </w:p>
        </w:tc>
      </w:tr>
    </w:tbl>
    <w:p w:rsidP="00000000" w:rsidRDefault="00000000" w:rsidR="00000000" w:rsidRPr="00000000" w:rsidDel="00000000">
      <w:pPr>
        <w:contextualSpacing w:val="0"/>
        <w:ind w:left="705"/>
        <w:spacing w:before="800" w:beforeAutospacing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sz w:val="24"/>
          <w:rtl w:val="0"/>
        </w:rPr>
        <w:t xml:space="preserve">* Dokuments ir parakstīts ar drošu elektronisko parakstu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Noteikumu (grozījumu) projekts 21-TA-473</w:t>
    </w:r>
    <w:r>
      <w:br/>
    </w:r>
    <w:r w:rsidR="00000000" w:rsidRPr="00000000" w:rsidDel="00000000">
      <w:rPr>
        <w:rtl w:val="0"/>
      </w:rPr>
      <w:t xml:space="preserve">Izdrukāts 30.07.2026. 00.00 - 1.0 Redakcija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Noteikumu (grozījumu) projekts 21-TA-473</w:t>
    </w:r>
    <w:r>
      <w:br/>
    </w:r>
    <w:r w:rsidR="00000000" w:rsidRPr="00000000" w:rsidDel="00000000">
      <w:rPr>
        <w:rtl w:val="0"/>
      </w:rPr>
      <w:t xml:space="preserve">Izdrukāts 30.07.2026. 00.00 - 1.0 Redakcija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  <w:lvl w:ilvl="1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  <w:lvl w:ilvl="2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bold_paragraph_header" w:type="paragraph">
    <w:name w:val="bold_paragraph_header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center"/>
    </w:pPr>
    <w:rPr>
      <w:b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noteikumu_(grozījumu)_projekts_21-TA-473.docx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