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jūlijā (prot. Nr. 29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Augstskolu likuma</w:t>
      </w:r>
      <w:r w:rsidR="00000000" w:rsidRPr="00000000" w:rsidDel="00000000">
        <w:rPr>
          <w:rStyle w:val="paragraph"/>
          <w:i w:val="1"/>
          <w:rtl w:val="0"/>
        </w:rPr>
        <w:t xml:space="preserve"> 46.panta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2007. gada 23. janvāra noteikumos Nr. 70 "Studiju līgumā obligāti ietveramie noteikumi" (Latvijas Vēstnesis, 2007, 16. nr.; 2023, 136.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"4.1. studiju programmas nosaukums, ilgums, apjoms kredītpunktos, iegūstamais grāds un profesionālā kvalifikācija, iegūstamais grāds vai profesionālā kvalifikācija;";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Studiju līgumā ar doktora studiju programmā studējošo (doktorantu) papildus šo noteikumu 3., 4., 5., 6. un 7. punktā minētajai informācijai iekļauj arī Augstskolu likuma 46. panta otrajā daļā minēto informāciju."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1.2. apakšpunkts stājas spēkā 2024. gada 1. augustā.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24-TA-900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24-TA-900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