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356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17. jūnijā (prot. Nr. 24 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2022. gada 5. jūlija noteikumos Nr. 421 "Eiropas Savienības Atveseļošanas un noturības mehānisma plāna 2.2. reformu un investīciju virziena "Uzņēmumu digitālā transformācija un inovācijas" 2.2.1.4.i. investīcijas "Finanšu instrumenti komersantu digitālās transformācijas veicināšanai"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w:t>
      </w:r>
      <w:r w:rsidR="00000000" w:rsidRPr="00000000" w:rsidDel="00000000">
        <w:rPr>
          <w:rStyle w:val="paragraph"/>
          <w:i w:val="1"/>
          <w:rtl w:val="0"/>
        </w:rPr>
        <w:t xml:space="preserve"> 19.</w:t>
      </w:r>
      <w:r w:rsidR="00000000" w:rsidRPr="00000000" w:rsidDel="00000000">
        <w:rPr>
          <w:rStyle w:val="paragraph"/>
          <w:i w:val="1"/>
          <w:vertAlign w:val="superscript"/>
          <w:rtl w:val="0"/>
        </w:rPr>
        <w:t xml:space="preserve">3 </w:t>
      </w:r>
      <w:r w:rsidR="00000000" w:rsidRPr="00000000" w:rsidDel="00000000">
        <w:rPr>
          <w:rStyle w:val="paragraph"/>
          <w:i w:val="1"/>
          <w:rtl w:val="0"/>
        </w:rPr>
        <w:t xml:space="preserve">panta otro daļu un</w:t>
      </w:r>
      <w:r>
        <w:br/>
      </w:r>
      <w:r w:rsidR="00000000" w:rsidRPr="00000000" w:rsidDel="00000000">
        <w:rPr>
          <w:rStyle w:val="paragraph"/>
          <w:i w:val="1"/>
          <w:rtl w:val="0"/>
        </w:rPr>
        <w:t xml:space="preserve">Attīstības finanšu institūcijas likuma</w:t>
      </w:r>
      <w:r w:rsidR="00000000" w:rsidRPr="00000000" w:rsidDel="00000000">
        <w:rPr>
          <w:rStyle w:val="paragraph"/>
          <w:i w:val="1"/>
          <w:rtl w:val="0"/>
        </w:rPr>
        <w:t xml:space="preserve"> 12. panta</w:t>
      </w:r>
      <w:r w:rsidR="00000000" w:rsidRPr="00000000" w:rsidDel="00000000">
        <w:rPr>
          <w:rStyle w:val="paragraph"/>
          <w:i w:val="1"/>
          <w:shd w:fill="rgb(224, 255, 255)" w:val="clear"/>
          <w:rtl w:val="0"/>
        </w:rPr>
        <w:t xml:space="preserve"> </w:t>
      </w:r>
      <w:r w:rsidR="00000000" w:rsidRPr="00000000" w:rsidDel="00000000">
        <w:rPr>
          <w:rStyle w:val="paragraph"/>
          <w:i w:val="1"/>
          <w:rtl w:val="0"/>
        </w:rPr>
        <w:t xml:space="preserve">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2022. gada 5. jūlija noteikumos Nr. 421 "Eiropas Savienības Atveseļošanas un noturības mehānisma plāna 2.2. reformu un investīciju virziena "Uzņēmumu digitālā transformācija un inovācijas" 2.2.1.4.i. investīcijas "Finanšu instrumenti komersantu digitālās transformācijas veicināšanai" īstenošanas noteikumi" (Latvijas Vēstnesis, 2022, 132. nr.; 2023, 211. nr.; 2024, 118.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sākotnējais digitālā brieduma tests – saimnieciskās darbības veicēja esošā digitālā un inovāciju brieduma novērtējums, ko saimnieciskās darbības veicējs veic patstāvīgi vai sadarbībā ar centru, lai noteiktu saimnieciskās darbības veicēja digitalizācijas vajadzības un spēju izmantot digitālās tehnoloģijas, kas tiek definētas digitālās attīstības ceļa kartē;".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otrreizējais digitālā brieduma tests – saimnieciskās darbības veicēja esošā digitālā un inovāciju brieduma novērtējums, ko pēc projekta īstenošanas saimnieciskās darbības veicējs veic patstāvīgi vai sadarbībā ar centru, un centra eksperta atzinums par projekta izpildes atbilstību digitālās attīstības ceļa kartei. Otrreizējā un sākotnējā novērtējuma rezultāti tiek savstarpēji salīdzināti, un ir jābūt vērojamam uzlabojumam digitalizācijas kopējā līmenī attiecībā pret iepriekšējo novērtējumu;".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2.5.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digitālās attīstības ceļa karte – centra eksperta padziļināti vadīts un izveidots novērtējums digitālā brieduma testa ietvaros par saimnieciskās darbības veicēja nepieciešamajām investīcijām digitālās transformācijas veicināšanai, novērtējot to atbilstību šo noteikumu 41. punktā minētajiem mērķiem;".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2.6.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 atzinums – centra sniegts saimnieciskās darbības veicēja esošā digitālā un inovāciju brieduma novērtējums un veikto investīciju atbilstība digitālās attīstības ceļa kartei. Novērtējums apliecina, ka saimnieciskās darbības veicējs izpildījis digitālās attīstības ceļa kartē noteiktos priekšnosacījumus kapitāla atlaides piemērošanai (pozitīvs atzinums), vai tajā secināts, ka projekta rezultātā saimnieciskās darbības veicējs nav izpildījis digitālās attīstības ceļa kartē noteiktos priekšnosacījumus kapitāla atlaides piemērošanai (negatīvs atzinums);".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2.9.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 piesaistītais privātais finansējums – finansējums, kas projektā tiks ieguldīts, izmantojot saimnieciskās darbības veicēja pašu līdzekļus, finansējums, ko sabiedrības "Altum" paralēlā aizdevuma gadījumā piešķīris cits finansētājs, un finansējums, ko sabiedrība "Altum" ir piesaistījusi finanšu instrumenta līmenī;".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2.11.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 viens vienots uzņēmums –  ja </w:t>
      </w:r>
      <w:r w:rsidR="00000000" w:rsidRPr="00000000" w:rsidDel="00000000">
        <w:rPr>
          <w:i w:val="1"/>
          <w:rtl w:val="0"/>
        </w:rPr>
        <w:t xml:space="preserve">de minimis</w:t>
      </w:r>
      <w:r w:rsidR="00000000" w:rsidRPr="00000000" w:rsidDel="00000000">
        <w:rPr>
          <w:rtl w:val="0"/>
        </w:rPr>
        <w:t xml:space="preserve"> atbalsts piešķirts atbilstoši Komisijas 2023. gada 13. decembra Regulai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2023/2831), Komisijas 2013. gada 18. decembra Regulai (ES) Nr. 1408/2013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(Eiropas Savienības Oficiālais Vēstnesis, 2013. gada 24. decembris, Nr. L 325) (turpmāk – Komisijas regula Nr. 1408/2013) vai Komisijas 2014. gada 27. jūnija Regulai (ES) Nr. 717/2014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zvejniecības un akvakultūras nozarē (Eiropas Savienības Oficiālais Vēstnesis, 2014. gada 28. jūnijs, Nr. L 190/45) (turpmāk – Komisijas regula Nr. 717/2014), tas attiecas uz saimnieciskās darbības veicēju un ietver visus ar to saistītos uzņēmumus, starp kuriem pastāv vismaz vienas Komisijas regulas Nr. 2023/2831 2. panta 2. punktā, Komisijas regulas Nr. 1408/2013 2. panta 2. punktā vai Komisijas regulas Nr. 717/2014 2. panta 2. punktā minētās attiecības."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Investīcijas mērķis ir veicināt saimnieciskās darbības veicēju digitālo transformāciju, attīstību un apgrozījuma apjoma pieaugumu, atbalstot uz produktivitātes pieaugumu vērstus ieguldījumus uzņēmējdarbības digitālās transformācijas rīkos un automatizācijā, kā arī jaunu produktu un digitālo tehnoloģiju un risinājumu izstrādē."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4.2.3.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"4.2.3. sabiedrības "Altum" paralēlais aizdevums ir vismaz kapitāla atlaides apjomā."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Sabiedrības "Altum" paralēlā aizdevuma izsniegšanas kārtību nosaka saskaņā ar civiltiesiskajiem līgumiem, kas noslēgti starp sabiedrību "Altum", saimnieciskās darbības veicēju un citu finansētāju."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Investīcijas mērķa grupa ir saimnieciskās darbības veicēji."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Aizdevumus un paralēlos aizdevumus izsniedz un kapitāla atlaidi piešķir un piemēro sabiedrība "Altum", noslēdzot ar saimnieciskās darbības veicēju civiltiesisku līgumu (turpmāk – aizdevuma līgums). Ja aizdevuma līgums netiek īstenots atbilstoši tajā ietvertajiem nosacījumiem, sabiedrībai "Altum" ir tiesības to vienpusēji lauzt un atgūt neatbilstoši izmaksāto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Investīcijai pieejamais Eiropas Savienības Atveseļošanas un noturības mehānisma finansējums ir 48 658 154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9.1.1.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"9.1.1. līdz 2022. gada 30. jūnijam Ministru kabinetā apstiprināta investīcija saimnieciskās darbības veicēju digitālās transformācijas veicināšanai;".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Svītrot 9.1.4.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9.2.1.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"9.2.1. līdz 2024. gada 30. jūnijam parakstīto aizdevuma līgumu skaits – 51 parakstīts aizdevuma līgums;".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9.2.2.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"9.2.2. līdz 2026. gada 30. jūnijam parakstīto aizdevuma līgumu skaits – 65 parakstīti aizdevuma līgumi;".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9.2.3.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"9.2.3. līdz 2026. gada 30. jūnijam privātais finansējums, par ko uzņemtas saistības, – 45 300 000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15.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Šo noteikumu 14. punktā minētajā līgumā iekļauj pušu saistības gan par darbībām Ekonomikas ministrijas un sabiedrības "Altum" līmenī, gan sabiedrības "Altum" un saimnieciskās darbības veicēju līmenī, lai investīcijas ieviešanas laikā novērstu: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15.1. korupciju, krāpšanu un interešu konfliktu saskaņā ar Eiropas Parlamenta un Padomes (ES) 2024. gada 23. augusta Regulas Nr. 2024/2509 par finanšu noteikumiem, ko piemēro Savienības vispārējam budžetam (turpmāk – regula Nr. 2024/2509), 61. pantu;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15.2. dubultfinansējuma risku."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16.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Ekonomikas ministrija šo noteikumu 14. punktā minētajā līgumā iekļauj pušu saistības par sasniegto atskaites punktu un mērķu pamatojošās dokumentācijas pārbaudēm, tai skaitā datu ticamības pārbaudēm gan attiecībā uz sabiedrību "Altum", gan saimnieciskās darbības veicējiem, kuriem piešķirts atbalsts."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Izteikt 22.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Atbalstu sniedz kā </w:t>
      </w:r>
      <w:r w:rsidR="00000000" w:rsidRPr="00000000" w:rsidDel="00000000">
        <w:rPr>
          <w:i w:val="1"/>
          <w:rtl w:val="0"/>
        </w:rPr>
        <w:t xml:space="preserve">de minimis</w:t>
      </w:r>
      <w:r w:rsidR="00000000" w:rsidRPr="00000000" w:rsidDel="00000000">
        <w:rPr>
          <w:rtl w:val="0"/>
        </w:rPr>
        <w:t xml:space="preserve"> atbalstu saskaņā ar Komisijas regulu Nr. 2023/2831, Komisijas regulu Nr. 1408/2013 vai Komisijas regulu Nr. 717/2014."</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Izteikt 22.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Ja saimnieciskās darbības veicējiem nav pieejams </w:t>
      </w:r>
      <w:r w:rsidR="00000000" w:rsidRPr="00000000" w:rsidDel="00000000">
        <w:rPr>
          <w:i w:val="1"/>
          <w:rtl w:val="0"/>
        </w:rPr>
        <w:t xml:space="preserve">de minimis</w:t>
      </w:r>
      <w:r w:rsidR="00000000" w:rsidRPr="00000000" w:rsidDel="00000000">
        <w:rPr>
          <w:rtl w:val="0"/>
        </w:rPr>
        <w:t xml:space="preserve"> limits vismaz atbalsta subsīdijas ekvivalenta apmērā, atbalstu sniedz kā reģionālo atbalstu saskaņā ar Komisijas regulas Nr. 651/2014 14. pantu."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Izteikt 24.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Lai pieteiktos atbalsta saņemšanai, saimnieciskās darbības veicējs ir veicis sākotnējo digitālā brieduma testu un saņēmis digitālās attīstības ceļa karti, saskaņā ar kuru var tikt veikti tālāki ieguldījumi saimnieciskās darbības veicēja digitālās transformācijas attīstībā šo noteikumu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Izteikt 25.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Saimnieciskās darbības veicējs, iesniedzot aizdevuma pieteikumu sabiedrībā "Altum", piesakās atbalstam."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Izteikt 26.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 Sabiedrība "Altum" saimnieciskās darbības veicēju un projektu vērtē, pamatojoties uz šādiem saimnieciskās darbības veicēja iesniegtajiem dokumentiem: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26.1. aizdevuma pieteikumu, kurā ietverts biznesa projekta apraksts;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26.2. saimnieciskās darbības veicēja digitālās attīstības ceļa karti;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26.3. saimnieciskās darbības veicēja parakstītu apliecinājumu par projektā paredzēto darbību atbilstību nacionālajiem un Eiropas Savienības tiesību aktiem vides jomā;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26.4. ja attiecināms – saimnieciskās darbības veicēja parakstītu apliecinājumu par projektā paredzēto darbību atbilstību Eiropas Savienības Emisijas kvotu tirdzniecības sistēmai (turpmāk – kvotu tirdzniecības sistēma), lai sasniegtu prognozētās CO</w:t>
      </w:r>
      <w:r w:rsidR="00000000" w:rsidRPr="00000000" w:rsidDel="00000000">
        <w:rPr>
          <w:vertAlign w:val="subscript"/>
          <w:rtl w:val="0"/>
        </w:rPr>
        <w:t xml:space="preserve">2</w:t>
      </w:r>
      <w:r w:rsidR="00000000" w:rsidRPr="00000000" w:rsidDel="00000000">
        <w:rPr>
          <w:rtl w:val="0"/>
        </w:rPr>
        <w:t xml:space="preserve"> emisijas, kas ir zemākas par attiecīgajiem bezmaksas kvotu piešķiršanas kritērijiem;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26.5. saimnieciskās darbības veicēja parakstītu apliecinājumu, ka tas nav veicis un neveiks Komisijas regulas Nr. 651/2014 14. panta 16. punktā norādītās darbības, kuras definētas Komisijas regulas Nr. 651/2014 2. panta 61.a apakšpunktā, – ja atbalstu sniedz kā reģionālo atbalstu saskaņā ar Komisijas regulas Nr. 651/2014 14. pantu;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26.6. saimnieciskās darbības veicēja parakstītu apliecinājumu, ka uz saimnieciskās darbības veicēju nav attiecināma Komisijas regulas Nr. 651/2014 2. panta 18. punkta "c" apakšpunktā minētā situācija – tas neatbilst Latvijas Republikas normatīvajos aktos noteiktajiem kritērijiem, lai tam pēc kreditoru pieprasījuma piemērotu kolektīvu maksātnespējas procedūru, – ja atbalstu sniedz kā reģionālo atbalstu saskaņā ar Komisijas regulas Nr. 651/2014 14. pantu;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26.7. saimnieciskās darbības veicēja parakstītu apliecinājumu, ka tas neatbilst Latvijas Republikas normatīvajos aktos noteiktajiem kritērijiem, lai tam pēc kreditoru pieprasījuma piemērotu kolektīvu maksātnespējas procedūru, – ja atbalstu sniedz kā </w:t>
      </w:r>
      <w:r w:rsidR="00000000" w:rsidRPr="00000000" w:rsidDel="00000000">
        <w:rPr>
          <w:i w:val="1"/>
          <w:rtl w:val="0"/>
        </w:rPr>
        <w:t xml:space="preserve">de minimis</w:t>
      </w:r>
      <w:r w:rsidR="00000000" w:rsidRPr="00000000" w:rsidDel="00000000">
        <w:rPr>
          <w:rtl w:val="0"/>
        </w:rPr>
        <w:t xml:space="preserve"> atbalstu saskaņā ar Komisijas regulu Nr. 2023/2831, Komisijas regulu Nr. 1408/2014 vai Komisijas regulu Nr. 717/2014;</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26.8. informāciju par plānoto un piešķirto atbalstu tā paša projekta ietvaros, tai skaitā par tām pašām attiecināmajām izmaksām, norādot atbalsta piešķiršanas datumu, atbalsta sniedzēju, atbalsta pasākumu, plānoto un piešķirto atbalsta summu un atbalsta intensitāti;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26.9. ja paredzēts sabiedrības "Altum" paralēlais aizdevums, – cita finansētāja lēmumu par finansējuma piešķiršanu projekta īstenošanai;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26.10. citu sabiedrības "Altum" pieprasīto informāciju, kas nepieciešama, lai izvērtētu saimnieciskās darbības veicēja un projekta atbilstību šajos noteikumos paredzētajiem atbalsta saņemšanas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Izteikt 27.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 Sabiedrība "Altum" finansē tikai tādas darbības, kuras ir atzinusi par ekonomiski dzīvotspējīgām, tai skaitā izvērtē saimnieciskās darbības veicēja investīciju projekta ilgtspēju, projekta īstenošanai nepieciešamo līdzfinansējumu, nodrošinājuma pietiekamību, saimnieciskās darbības veicēja esošo un nākotnes finanšu situāciju, zināšanu un pieredzes atbilstību projektā paredzēto darbību veiksmīgai īstenošanai, kā arī analizē identificētos uzņēmējdarbības riskus un citus faktorus saimnieciskās darbības veicēja aizdevuma kvalitātes noteikšanai."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Izteikt 28.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 Ja saimnieciskās darbības veicēja projektā paredzētās darbības nesakrīt ar digitālās attīstības ceļa kartē norādīto, sabiedrībai "Altum" ir tiesības pieņemt lēmumu par aizdevuma pieteikuma noraidīšanu. Sabiedrībai "Altum" ir tiesības neslēgt aizdevuma līgumu ar saimnieciskās darbības veicēju un atteikt aizdevuma vai sabiedrības "Altum" paralēlā aizdevuma izmaksu, tai skaitā gadījumos, kad lēmums par atbalsta piešķiršanu jau ir pieņemts, ja sabiedrībai "Altum" kļūst zināmi apstākļi, ka saimnieciskās darbības veicējs vai projekts vairs neatbilst šo noteikumu nosacījumiem vai aizdevumu un sabiedrības "Altum" paralēlo aizdevumu nevar izsniegt saskaņā ar sabiedrībai "Altum" saistošajiem normatīvajiem aktiem."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Izteikt 29.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 Saimnieciskās darbības veicējam atbalstu piešķir brīdī, kad sabiedrība "Altum" pieņem lēmumu par aizdevuma vai paralēlā aizdevuma piešķiršanu, kurā ir noteikts atbalsta maksimālais apjoms, atbalsta intensitāte un maksimālā pieejamā kapitāla atlaide. Atbalstu piešķir, ja saimnieciskās darbības veicējs atbilst šajos noteikumos noteiktajām valsts atbalsta saņemšanas prasībām saskaņā ar šo noteikumu 22. punktā vai 22.</w:t>
      </w:r>
      <w:r w:rsidR="00000000" w:rsidRPr="00000000" w:rsidDel="00000000">
        <w:rPr>
          <w:vertAlign w:val="superscript"/>
          <w:rtl w:val="0"/>
        </w:rPr>
        <w:t xml:space="preserve">1</w:t>
      </w:r>
      <w:r w:rsidR="00000000" w:rsidRPr="00000000" w:rsidDel="00000000">
        <w:rPr>
          <w:rtl w:val="0"/>
        </w:rPr>
        <w:t xml:space="preserve"> punktā minēto valsts atbalsta regulējumu."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Izteikt 30.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 Sabiedrībai "Altum" investīcijas īstenošanai un atbalsta sniegšanai saimnieciskās darbības veicējiem šo noteikumu ietvaros ir tiesības bez maksas pieprasīt un saņemt informāciju no valsts informācijas sistēmām, datubāzēm un reģistriem normatīvajos aktos noteiktajā apjomā.</w:t>
      </w:r>
      <w:r w:rsidR="00000000" w:rsidRPr="00000000" w:rsidDel="00000000">
        <w:rPr>
          <w:color w:val="#f1c40f"/>
          <w:rtl w:val="0"/>
        </w:rPr>
        <w:t xml:space="preserve"> </w:t>
      </w:r>
      <w:r w:rsidR="00000000" w:rsidRPr="00000000" w:rsidDel="00000000">
        <w:rPr>
          <w:rtl w:val="0"/>
        </w:rPr>
        <w:t xml:space="preserve">Lai nodrošinātu pieeju datiem, sabiedrība "Altum", ja nepieciešams, slēdz vienošanos ar attiecīgo valsts informācijas sistēmas, datubāzes un reģistra pārzini."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Izteikt 31.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Lai nodrošinātu piešķirtā atbalsta atbilstību šiem noteikumiem, sabiedrībai "Altum" ir tiesības nodot datus par saimnieciskās darbības veicēju un projektu centram, savukārt centram ir tiesības nodot datus par saimnieciskās darbības veicēju un projektu sabiedrībai "Altum"."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Izteikt 32.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Sabiedrība "Altum" kapitāla atlaidi var piemērot, pamatojoties uz saimnieciskās darbības veicēja iesniegtu pozitīvu atzinumu, ja saimnieciskās darbības veicējs tādu saņem pēc otrreizējā digitālā brieduma testa."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Izteikt 33.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 Paralēlā aizdevuma procentu likmi pielīdzina cita finansētāja kredīta likmei. Ja mainīgās likmes noteikšanas, pārskatīšanas vai grozīšanas brīdī EURIBOR ir negatīvs, tad EURIBOR tiek piemērota 0 (nulles) vērtība. Sabiedrība "Altum" var piemērot augstāku gada procentu likmes fiksētās daļas likmi nekā cita finansētāja aizdevumam vai finanšu līzingam pievienotās gada procentu likmes fiksētās daļas likmi, lai ievērotu šo noteikumu 35. un 36. punktā noteikto maksimāli pieļaujamo atbalsta intensitāti, ja atbalstu piešķir kā reģionālo atbalstu saskaņā ar Komisijas regulas Nr. 651/2014 14. pantu, vai šo noteikumu 47.5.  apakšpunktā minēto apmēru, ja atbalstu piešķir kā </w:t>
      </w:r>
      <w:r w:rsidR="00000000" w:rsidRPr="00000000" w:rsidDel="00000000">
        <w:rPr>
          <w:i w:val="1"/>
          <w:rtl w:val="0"/>
        </w:rPr>
        <w:t xml:space="preserve">de minimis</w:t>
      </w:r>
      <w:r w:rsidR="00000000" w:rsidRPr="00000000" w:rsidDel="00000000">
        <w:rPr>
          <w:rtl w:val="0"/>
        </w:rPr>
        <w:t xml:space="preserve"> atbalstu saskaņā ar Komisijas regulu Nr. 2023/2831, Komisijas regulu Nr. 1408/2013 vai Komisijas regulu Nr. 717/2014."</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Izteikt 35.1.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"35.1. Rīgas kopējās statistiski teritoriālo vienību klasifikācijas (turpmāk – NUTS) 3. līmeņa reģionā (atbilstoši 2021. gada datiem) – 30 % lielajiem saimnieciskās darbības veicējiem, 40 % vidējiem saimnieciskās darbības veicējiem vai 50 % sīkajiem (mikro) vai mazajiem saimnieciskās darbības veicējiem;".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Izteikt 35.2.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"35.2. Kurzemes, Zemgales, Vidzemes un Latgales NUTS 3. līmeņa reģionā (atbilstoši 2021. gada datiem) – 50 % lielajiem saimnieciskās darbības veicējiem, 60 % vidējiem saimnieciskās darbības veicējiem vai 70 % sīkajiem (mikro) vai mazajiem saimnieciskās darbības veicējiem;".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Izteikt 35.3.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"35.3. administratīvajām teritorijām Pierīgas NUTS 3. līmeņa reģionā (atbilstoši 2021. gada datiem), tai skaitā Limbažu novadā, Ogres novadā, Saulkrastu novadā un Tukuma novadā, – 30 % lielajiem saimnieciskās darbības veicējiem, 40 % vidējiem saimnieciskās darbības veicējiem vai 50 % sīkajiem (mikro) vai mazajiem saimnieciskās darbības veicējiem."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Izteikt 36.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 Ja atbalsts tiek sniegts kā reģionālais atbalsts saskaņā ar Komisijas regulas Nr. 651/2014 14. pantu, atbilstoši Komisijas regulas Nr. 651/2014 14. panta 13. punktam ikvienu sākotnējo ieguldījumu, kurš attiecās uz to pašu vai līdzīgu darbību atbilstoši Komisijas regulas Nr. 651/2014 2. panta 50. punktā noteiktajai definīcijai un kuru tas pats saņēmējs (grupas līmenī) ir sācis triju gadu laikā no dienas, kad sākti darbi pie cita atbalstītā ieguldījuma tajā pašā NUTS 3. līmeņa</w:t>
      </w:r>
      <w:r w:rsidR="00000000" w:rsidRPr="00000000" w:rsidDel="00000000">
        <w:rPr>
          <w:b w:val="1"/>
          <w:rtl w:val="0"/>
        </w:rPr>
        <w:t xml:space="preserve"> </w:t>
      </w:r>
      <w:r w:rsidR="00000000" w:rsidRPr="00000000" w:rsidDel="00000000">
        <w:rPr>
          <w:rtl w:val="0"/>
        </w:rPr>
        <w:t xml:space="preserve">reģionā (atbilstoši 2021. gada datiem), uzskata par daļu no vienota ieguldījumu projekta. Vienotam ieguldījumu projektam, kas ir lielu ieguldījumu projekts, un lielu ieguldījumu projektam, kas nav vienotais ieguldījumu projekts, saskaņā ar Komisijas regulas Nr. 651/2014 2. panta 52. punktu (neatkarīgi no tā, vai ieguldījumus veic mazs, vidējs vai liels saimnieciskās darbības veicējs) atbalstu piešķir, ievērojot šādus nosacījumus: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36.1. Rīgā: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36.1.1. projektam līdz 55 miljoniem </w:t>
      </w:r>
      <w:r w:rsidR="00000000" w:rsidRPr="00000000" w:rsidDel="00000000">
        <w:rPr>
          <w:i w:val="1"/>
          <w:rtl w:val="0"/>
        </w:rPr>
        <w:t xml:space="preserve">euro </w:t>
      </w:r>
      <w:r w:rsidR="00000000" w:rsidRPr="00000000" w:rsidDel="00000000">
        <w:rPr>
          <w:rtl w:val="0"/>
        </w:rPr>
        <w:t xml:space="preserve">piemēro 30 % no attiecināmo izmaksu summas;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36.1.2. projekta daļai no 55 līdz 110 miljoniem </w:t>
      </w:r>
      <w:r w:rsidR="00000000" w:rsidRPr="00000000" w:rsidDel="00000000">
        <w:rPr>
          <w:i w:val="1"/>
          <w:rtl w:val="0"/>
        </w:rPr>
        <w:t xml:space="preserve">euro </w:t>
      </w:r>
      <w:r w:rsidR="00000000" w:rsidRPr="00000000" w:rsidDel="00000000">
        <w:rPr>
          <w:rtl w:val="0"/>
        </w:rPr>
        <w:t xml:space="preserve">piemēro 15 % no attiecināmo izmaksu summas;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36.1.3. projekta daļai, kas pārsniedz 110 miljonus </w:t>
      </w:r>
      <w:r w:rsidR="00000000" w:rsidRPr="00000000" w:rsidDel="00000000">
        <w:rPr>
          <w:i w:val="1"/>
          <w:rtl w:val="0"/>
        </w:rPr>
        <w:t xml:space="preserve">euro</w:t>
      </w:r>
      <w:r w:rsidR="00000000" w:rsidRPr="00000000" w:rsidDel="00000000">
        <w:rPr>
          <w:rtl w:val="0"/>
        </w:rPr>
        <w:t xml:space="preserve">, piemēro 0 % no attiecināmo izmaksu summas;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36.2. Kurzemes, Zemgales, Vidzemes un Latgales NUTS 3. līmeņa reģionā (atbilstoši 2021. gada datiem):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36.2.1. projektam līdz 55 miljoniem </w:t>
      </w:r>
      <w:r w:rsidR="00000000" w:rsidRPr="00000000" w:rsidDel="00000000">
        <w:rPr>
          <w:i w:val="1"/>
          <w:rtl w:val="0"/>
        </w:rPr>
        <w:t xml:space="preserve">euro </w:t>
      </w:r>
      <w:r w:rsidR="00000000" w:rsidRPr="00000000" w:rsidDel="00000000">
        <w:rPr>
          <w:rtl w:val="0"/>
        </w:rPr>
        <w:t xml:space="preserve">piemēro 50 % no attiecināmo izmaksu summas;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36.2.2. projekta daļai no 55 līdz 110 miljoniem </w:t>
      </w:r>
      <w:r w:rsidR="00000000" w:rsidRPr="00000000" w:rsidDel="00000000">
        <w:rPr>
          <w:i w:val="1"/>
          <w:rtl w:val="0"/>
        </w:rPr>
        <w:t xml:space="preserve">euro </w:t>
      </w:r>
      <w:r w:rsidR="00000000" w:rsidRPr="00000000" w:rsidDel="00000000">
        <w:rPr>
          <w:rtl w:val="0"/>
        </w:rPr>
        <w:t xml:space="preserve">piemēro 25 % no attiecināmo izmaksu summas;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36.2.3. projekta daļai, kas pārsniedz 110 miljonus </w:t>
      </w:r>
      <w:r w:rsidR="00000000" w:rsidRPr="00000000" w:rsidDel="00000000">
        <w:rPr>
          <w:i w:val="1"/>
          <w:rtl w:val="0"/>
        </w:rPr>
        <w:t xml:space="preserve">euro</w:t>
      </w:r>
      <w:r w:rsidR="00000000" w:rsidRPr="00000000" w:rsidDel="00000000">
        <w:rPr>
          <w:rtl w:val="0"/>
        </w:rPr>
        <w:t xml:space="preserve">, piemēro 0 % no attiecināmo izmaksu summas;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36.3. administratīvajām teritorijām Pierīgas reģionā (tai skaitā Limbažu novadā, Ogres novadā, Saulkrastu novadā un Tukuma novadā):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36.3.1. projektam līdz 55 miljoniem </w:t>
      </w:r>
      <w:r w:rsidR="00000000" w:rsidRPr="00000000" w:rsidDel="00000000">
        <w:rPr>
          <w:i w:val="1"/>
          <w:rtl w:val="0"/>
        </w:rPr>
        <w:t xml:space="preserve">euro</w:t>
      </w:r>
      <w:r w:rsidR="00000000" w:rsidRPr="00000000" w:rsidDel="00000000">
        <w:rPr>
          <w:rtl w:val="0"/>
        </w:rPr>
        <w:t xml:space="preserve"> piemēro 30 % no attiecināmo izmaksu summas;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36.3.2. projekta daļai no 55 līdz 110 miljoniem </w:t>
      </w:r>
      <w:r w:rsidR="00000000" w:rsidRPr="00000000" w:rsidDel="00000000">
        <w:rPr>
          <w:i w:val="1"/>
          <w:rtl w:val="0"/>
        </w:rPr>
        <w:t xml:space="preserve">euro</w:t>
      </w:r>
      <w:r w:rsidR="00000000" w:rsidRPr="00000000" w:rsidDel="00000000">
        <w:rPr>
          <w:rtl w:val="0"/>
        </w:rPr>
        <w:t xml:space="preserve"> piemēro 15 % no attiecināmo izmaksu summas;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36.3.3. projekta daļai, kas pārsniedz 110 miljonus </w:t>
      </w:r>
      <w:r w:rsidR="00000000" w:rsidRPr="00000000" w:rsidDel="00000000">
        <w:rPr>
          <w:i w:val="1"/>
          <w:rtl w:val="0"/>
        </w:rPr>
        <w:t xml:space="preserve">euro</w:t>
      </w:r>
      <w:r w:rsidR="00000000" w:rsidRPr="00000000" w:rsidDel="00000000">
        <w:rPr>
          <w:rtl w:val="0"/>
        </w:rPr>
        <w:t xml:space="preserve">, piemēro 0 % no attiecināmo izmaksu summas."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Izteikt 37.2.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"37.2. ja no sākotnējiem ieguldījumiem neatkarīgi no to atrašanās vietas saimnieciskās darbības veicējs gūst labumu vienā vai vairākos dažādas atbalsta intensitātes NUTS 3. līmeņa reģionos (atbilstoši 2021. gada datiem), visam projektam piemēro zemāko atbalsta intensitāti starp atbalsta intensitātes NUTS 3. līmeņa reģioniem (atbilstoši 2021. gada datiem), kuros saimnieciskās darbības veicējs gūst labumu no projekta īstenošanas."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Izteikt 38.1.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"38.1. saimnieciskās darbības veicējs atbilstoši Komisijas regulas Nr. 651/2014 14. panta 14. punktam nodrošina līdzfinansējumu vismaz 25 % apmērā no projekta attiecināmajām izmaksām, izmantojot pašu līdzekļus vai ārējo finansējumu, tai skaitā cita finansētāja izsniegtu kredītu vai finanšu līzingu. Par šo līdzfinansējumu nav saņemts nekāds publiskais atbalsts, tai skaitā </w:t>
      </w:r>
      <w:r w:rsidR="00000000" w:rsidRPr="00000000" w:rsidDel="00000000">
        <w:rPr>
          <w:i w:val="1"/>
          <w:rtl w:val="0"/>
        </w:rPr>
        <w:t xml:space="preserve">de minimis</w:t>
      </w:r>
      <w:r w:rsidR="00000000" w:rsidRPr="00000000" w:rsidDel="00000000">
        <w:rPr>
          <w:rtl w:val="0"/>
        </w:rPr>
        <w:t xml:space="preserve"> atbalsts;".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Izteikt 38.2.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"38.2. saimnieciskās darbības veicējs ievēro nosacījumus atbilstoši Komisijas regulas Nr. 651/2014 14. panta 7.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Izteikt 39.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 Šo noteikumu izpratnē atbalstu var piešķirt saimnieciskās darbības veicējam, kas uz atbalsta piešķiršanas brīdi atbilst šādiem nosacījumiem: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39.1. tas ir reģistrēts Latvijas Republikas Komercreģistrā, vai tas ir Uzņēmumu reģistra žurnālā ierakstīta kooperatīvā sabiedrība, kurai saskaņā ar normatīvajiem aktiem par kooperatīvo sabiedrību darbību ir piešķirts atbilstības statuss;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39.2. tas ir lielais saimnieciskās darbības veicējs, kas atbilst Komisijas regulas Nr. 651/2014 2. panta 24. punktā noteiktajai definīcijai, vai vidējais saimnieciskās darbības veicējs, kas atbilst Komisijas regulas Nr. 651/2014 I pielikuma 2. panta 1. punktā noteiktajiem kritērijiem un pārsniedz Komisijas regulas Nr. 651/2014 I pielikuma 2. panta 2. punktā noteiktos kritērijus, vai mazais saimnieciskās darbības veicējs, kas atbilst Komisijas regulas Nr. 651/2014 I pielikuma 2. panta 2. punktā noteiktajiem kritērijiem, vai sīkais (mikro) saimnieciskās darbības veicējs, kas atbilst Komisijas regulas Nr. 651/2014 I pielikuma 2. panta 3. punktā noteiktajiem kritērijiem;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39.3. tam saskaņā ar Valsts ieņēmumu dienesta administrēto nodokļu (nodevu) parādnieku datubāzē pieejamo informāciju nav nodokļu vai nodevu parādu, kas kopsummā pārsniedz 150</w:t>
      </w:r>
      <w:r w:rsidR="00000000" w:rsidRPr="00000000" w:rsidDel="00000000">
        <w:rPr>
          <w:b w:val="1"/>
          <w:rtl w:val="0"/>
        </w:rPr>
        <w:t xml:space="preserve"> </w:t>
      </w:r>
      <w:r w:rsidR="00000000" w:rsidRPr="00000000" w:rsidDel="00000000">
        <w:rPr>
          <w:i w:val="1"/>
          <w:rtl w:val="0"/>
        </w:rPr>
        <w:t xml:space="preserve">euro</w:t>
      </w:r>
      <w:r w:rsidR="00000000" w:rsidRPr="00000000" w:rsidDel="00000000">
        <w:rPr>
          <w:rtl w:val="0"/>
        </w:rPr>
        <w:t xml:space="preserve">, izņemot nodokļu maksājumus, kuru segšanai ir piešķirts samaksas termiņa pagarinājums vai noslēgts vienošanās līgums. Nosacījumu pārbauda līdz aizdevuma izsniegšanas uzsākšanai;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39.4. saimnieciskās darbības veicējs, tai skaitā vērtējot saistītās grupas līmenī, nav uzskatāms par grūtībās nonākušu uzņēmumu saskaņā ar Komisijas regulas Nr. 651/2014 2. panta 18. punktu, izņemot Komisijas regulas Nr.  651/2014 1. panta 4. punkta "c" apakšpunktā minēto izņēmumu, – ja atbalstu sniedz kā reģionālo atbalstu saskaņā ar Komisijas regulas Nr. 651/2014 14. pantu;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39.5. uz saimnieciskās darbības veicēju, tai skaitā vērtējot saistītās grupas līmenī, neattiecas līdzekļu atgūšanas rīkojums saskaņā ar Komisijas regulas Nr. 651/2014 1. panta 4. punkta "a" apakšpunktu – ja atbalstu sniedz kā reģionālo atbalstu saskaņā ar Komisijas regulas Nr. 651/2014 14. pantu;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39.6. uz saimnieciskās darbības veicēju nav attiecināms neviens no šiem gadījumiem: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39.6.1. saimnieciskās darbības veicējs vai persona, kura ir saimnieciskās darbības veicēja valdes vai padomes loceklis vai prokūrists, vai persona, kura ir pilnvarota pārstāvēt saimnieciskās darbības veicēju ar filiāli saistītās darbībās, ar tādu prokurora priekšrakstu par sodu vai tiesas spriedumu, kas stājies spēkā un kļuvis neapstrīdams un nepārsūdzams, ir atzīta par vainīgu jebkurā no šādiem noziedzīgiem nodarījumiem: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39.6.1.1. noziedzīgas organizācijas izveidošana, vadīšana, iesaistīšanās tajā vai tās sastāvā ietilpstošā organizētā grupā vai citā noziedzīgā formējumā vai piedalīšanās šādas organizācijas izdarītos noziedzīgos nodarījumos;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39.6.1.2. kukuļņemšana, kukuļdošana, kukuļa piesavināšanās, starpniecība kukuļošanā, neatļauta labuma pieņemšana vai komerciāla uzpirkšana, prettiesiska labumu pieprasīšana, pieņemšana vai došana, tirgošanās ar ietekmi;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39.6.1.3. krāpšana, piesavināšanās vai noziedzīgi iegūtu līdzekļu legalizēšana;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39.6.1.4. izvairīšanās no nodokļu un tiem pielīdzināto maksājumu nomaksas;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39.6.1.5. terorisms, terorisma finansēšana, teroristu grupas izveide vai organizēšana, ceļošana terorisma nolūkā, terorisma attaisnošana, aicinājums uz terorismu, terorisma draudi vai personas vervēšana, apmācīšana un apmācīšanās terorismam;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39.6.1.6. cilvēku tirdzniecība;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39.6.1.7. tādu preču un vielu pārvietošana pāri Latvijas Republikas valsts robežai, kuru aprite ir aizliegta vai speciāli reglamentēta;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39.6.1.8. neatļauta piedalīšanās mantiskos darījumos;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39.6.2. saimnieciskās darbības veicējs vai persona, kura ir saimnieciskās darbības veicēja valdes vai padomes loceklis vai prokūrists, vai persona, kura ir pilnvarota pārstāvēt saimnieciskās darbības veicēju ar filiāli saistītās darbībās, ar tādu attiecīgā jomā kompetentas institūcijas lēmumu, prokurora priekšrakstu par sodu vai tiesas spriedumu, kas stājies spēkā un kļuvis neapstrīdams un nepārsūdzams, ir atzīta par vainīgu un sodīta par pārkāpumu, kas izpaužas kā: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39.6.2.1. vienas vai vairāku personu nodarbināšana, ja tām nav nepieciešamās darba atļaujas vai ja tās nav tiesīgas uzturēties Eiropas Savienības dalībvalstī;</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39.6.2.2. personas nodarbināšana bez rakstveidā noslēgta darba līguma;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39.6.3. saimnieciskās darbības veicējs vai persona, kura ir saimnieciskās darbības veicēja valdes vai padomes loceklis vai prokūrists, vai persona, kura ir pilnvarota pārstāvēt saimnieciskās darbības veicēju ar filiāli saistītās darbībās, ar tādu attiecīgā jomā kompetentas institūcijas lēmumu vai tiesas spriedumu, kas stājies spēkā un kļuvis neapstrīdams un nepārsūdzams, ir atzīta par vainīgu konkurences tiesību pārkāpumā, kas izpaužas kā vertikālā vienošanās, kuras mērķis ir ierobežot pircēja iespēju noteikt tālākpārdošanas cenu, vai horizontālā karteļa vienošanās, izņemot gadījumu, kad attiecīgā institūcija, konstatējot konkurences tiesību pārkāpumu, par sadarbību iecietības programmas ietvaros saimnieciskās darbības veicēju ir atbrīvojusi no naudas soda vai naudas sodu samazinājusi;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39.6.4. tiek apturēta vai pārtraukta saimnieciskās darbības veicēja saimnieciskā darbība, vai saimnieciskās darbības veicējs tiek likvidēts;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39.6.5. saimnieciskās darbības veicējs ar tādu attiecīgā jomā kompetentas institūcijas lēmumu par sodu vai tiesas spriedumu, kas stājies spēkā un kļuvis neapstrīdams un nepārsūdzams, ir atzīts par vainīgu un sodīts par pārkāpumu, kas izpaužas kā normatīvajos aktos noteiktajā termiņā neiesniegta informatīvā deklarācija par darbiniekiem, kas iesniedzama par personām, kuras uzsāk darbu."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Izteikt 39.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 Sabiedrība "Altum" nenoraida saimnieciskās darbības veicēja aizdevuma pieteikumu, ja no dienas, kad kļuvis neapstrīdams un nepārsūdzams: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1. tiesas spriedums, prokurora priekšraksts par sodu vai citas kompetentas institūcijas pieņemtais lēmums saistībā ar šo noteikumu 39.6.1. vai 39.6.2.1. apakšpunktā minētajiem pārkāpumiem, līdz aizdevuma pieteikuma iesniegšanas dienai ir pagājuši trīs gadi;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2. tiesas spriedums vai citas attiecīgā jomā kompetentas institūcijas pieņemtais lēmums saistībā ar šo noteikumu 39.6.2.2. vai 39.6.3. apakšpunktā minētajiem pārkāpumiem, līdz aizdevuma pieteikuma iesniegšanas dienai ir pagājuši 12 mēneši."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Izteikt 39.</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2</w:t>
      </w:r>
      <w:r w:rsidR="00000000" w:rsidRPr="00000000" w:rsidDel="00000000">
        <w:rPr>
          <w:rtl w:val="0"/>
        </w:rPr>
        <w:t xml:space="preserve"> Sabiedrība "Altum" par šo noteikumu 39.6.1., 39.6.2. un 39.6.3. apakšpunktā minētajiem gadījumiem ziņas iegūst no Iekšlietu ministrijas Informācijas centra pārziņā esošās valsts informācijas sistēmas "Sodu reģistrs". Informāciju par šo noteikumu 39.6.3. apakšpunktā minēto izņēmuma gadījumu, kad attiecīgā institūcija, konstatējot konkurences tiesību pārkāpumu, par sadarbību iecietības programmas ietvaros saimnieciskās darbības veicēju ir atbrīvojusi no naudas soda vai naudas sodu samazinājusi, sabiedrība "Altum" iegūst no Konkurences padomes."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Izteikt 40.4.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"40.4. nemateriālie aktīvi atbilst Komisijas regulas Nr. 651/2014 14. panta 8. punktā minētajiem nosacījumiem. Lielajiem saimnieciskās darbības veicējiem nemateriālos aktīvus var finansēt līdz 50 % no sākotnējo ieguldījumu kopējām attiecināmajām ieguldījumu izmaksām. Sīkajiem (mikro), mazajiem vai vidējiem saimnieciskās darbības veicējiem nemateriālos aktīvus var finansēt 100 %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Izteikt 41.2.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"41.2. industrijas 4.0 risinājumu (automatizētas iekārtas, robotu risinājumi, sensoru tīkli un sakaru tehnoloģijas, mākslīgā intelekta risinājumu tehnoloģijas un citi investīcijas mērķim atbilstoši risinājumi, izmantojot informācijas un komunikācijas tehnoloģijas) iegāde un ieviešana (paredzot gan nepieciešamās iekārtas, gan programmatūras komponenti) atbilstoši saimnieciskās darbības veicēja pamatdarbības specifikai;".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Izteikt 43.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 Lai saņemtu reģionālo atbalstu saskaņā ar Komisijas regulas Nr. 651/2014 14. pantu, saimnieciskās darbības veicējam jāievēro šādi nosacījumi: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43.1. sniegtajam atbalstam ir stimulējoša ietekme atbilstoši Komisijas regulas Nr. 651/2014 6. panta 2. punktā minētajām pazīmēm: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43.1.1. šo noteikumu 25. punktā minētais aizdevuma pieteikums atbilst Komisijas regulas Nr. 651/2014 6. panta 2. punktā ietvertajām prasībām par pieteikumā iekļaujamo informāciju un tas ir iesniegts pirms darbu uzsākšanas projektā;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43.1.2. ja projektam piesaista citu publisko finansējumu, darbu ar projektu var uzsākt tad, kad visās iestādēs, kurās pretendē uz atbalstu, ir iesniegts pieteikums un ir pieņemts lēmums par atbalsta piešķiršanu vai noslēgts līgums, ja atbalstu nepiešķir ar lēmumu;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43.2. sākotnējie ieguldījumi pēc projekta pabeigšanas paliek Latvijā attiecīgajā atbalsta intensitātes NUTS 3. līmeņa reģionā (atbilstoši 2021. gada datiem), kurā tiek īstenots atbalstāmais projekts, vai paliek Latvijā jebkurā reģionā, ja atbalsts tiek piešķirts, ņemot vērā šo noteikumu 37.2. apakšpunktu, vismaz piecus gadus (lielajiem saimnieciskās darbības veicējiem) vai trīs gadus (sīkajiem (mikro), mazajiem vai vidējiem saimnieciskās darbības veicējiem) atbilstoši Komisijas regulas Nr. 651/2014 14. panta 5.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Izteikt 44.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 Ja tiek pārkāpti Komisijas regulas Nr. 651/2014 nosacījumi, saimnieciskās darbības veicējam ir pienākums atmaksāt sabiedrībai "Altum" projekta ietvaros saņemto nelikumīgo komercdarbības atbalstu kopā ar procentiem no līdzekļiem, kas ir brīvi no komercdarbības atbalsta, atbilstoši Komercdarbības atbalsta kontroles likuma IV vai V nodaļas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Izteikt 47.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 Ja atbalstu sniedz kā </w:t>
      </w:r>
      <w:r w:rsidR="00000000" w:rsidRPr="00000000" w:rsidDel="00000000">
        <w:rPr>
          <w:i w:val="1"/>
          <w:rtl w:val="0"/>
        </w:rPr>
        <w:t xml:space="preserve">de minimis</w:t>
      </w:r>
      <w:r w:rsidR="00000000" w:rsidRPr="00000000" w:rsidDel="00000000">
        <w:rPr>
          <w:rtl w:val="0"/>
        </w:rPr>
        <w:t xml:space="preserve"> atbalstu saskaņā ar Komisijas regulu Nr. 2023/2831, Komisijas regulu Nr. 1408/2013 vai Komisijas regulu Nr. 717/2014, jāievēro šādi nosacījumi: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47.1. ja saimnieciskās darbības veicējs darbojas šo noteikumu 62.</w:t>
      </w:r>
      <w:r w:rsidR="00000000" w:rsidRPr="00000000" w:rsidDel="00000000">
        <w:rPr>
          <w:vertAlign w:val="superscript"/>
          <w:rtl w:val="0"/>
        </w:rPr>
        <w:t xml:space="preserve">1</w:t>
      </w:r>
      <w:r w:rsidR="00000000" w:rsidRPr="00000000" w:rsidDel="00000000">
        <w:rPr>
          <w:rtl w:val="0"/>
        </w:rPr>
        <w:t xml:space="preserve">1. apakšpunktā minētajās neatbalstāmajās nozarēs, </w:t>
      </w:r>
      <w:r w:rsidR="00000000" w:rsidRPr="00000000" w:rsidDel="00000000">
        <w:rPr>
          <w:i w:val="1"/>
          <w:rtl w:val="0"/>
        </w:rPr>
        <w:t xml:space="preserve">de</w:t>
      </w:r>
      <w:r w:rsidR="00000000" w:rsidRPr="00000000" w:rsidDel="00000000">
        <w:rPr>
          <w:i w:val="1"/>
          <w:rtl w:val="0"/>
        </w:rPr>
        <w:t xml:space="preserve"> minimis</w:t>
      </w:r>
      <w:r w:rsidR="00000000" w:rsidRPr="00000000" w:rsidDel="00000000">
        <w:rPr>
          <w:rtl w:val="0"/>
        </w:rPr>
        <w:t xml:space="preserve"> atbalstu saskaņā ar Komisijas regulu Nr. 2023/2831 drīkst piešķirt tikai tad, ja atbalsta pretendents nodrošina nozaru darbību vai uzskaites nodalīšanu, lai saskaņā ar Komisijas regulas Nr. 2023/2831 1. panta 2. punktu darbības neatbalstāmajās nozarēs negūst labumu no </w:t>
      </w:r>
      <w:r w:rsidR="00000000" w:rsidRPr="00000000" w:rsidDel="00000000">
        <w:rPr>
          <w:i w:val="1"/>
          <w:rtl w:val="0"/>
        </w:rPr>
        <w:t xml:space="preserve">de minimis</w:t>
      </w:r>
      <w:r w:rsidR="00000000" w:rsidRPr="00000000" w:rsidDel="00000000">
        <w:rPr>
          <w:rtl w:val="0"/>
        </w:rPr>
        <w:t xml:space="preserve"> atbalsta, ko piešķir saskaņā ar Komisijas regulu Nr. 2023/2831. Ja saimnieciskās darbības veicējs vienlaikus darbojas vienā vai vairākās nozarēs, kas minētas šo noteikumu 62.</w:t>
      </w:r>
      <w:r w:rsidR="00000000" w:rsidRPr="00000000" w:rsidDel="00000000">
        <w:rPr>
          <w:vertAlign w:val="superscript"/>
          <w:rtl w:val="0"/>
        </w:rPr>
        <w:t xml:space="preserve">1</w:t>
      </w:r>
      <w:r w:rsidR="00000000" w:rsidRPr="00000000" w:rsidDel="00000000">
        <w:rPr>
          <w:rtl w:val="0"/>
        </w:rPr>
        <w:t xml:space="preserve">2., 62.</w:t>
      </w:r>
      <w:r w:rsidR="00000000" w:rsidRPr="00000000" w:rsidDel="00000000">
        <w:rPr>
          <w:vertAlign w:val="superscript"/>
          <w:rtl w:val="0"/>
        </w:rPr>
        <w:t xml:space="preserve">1</w:t>
      </w:r>
      <w:r w:rsidR="00000000" w:rsidRPr="00000000" w:rsidDel="00000000">
        <w:rPr>
          <w:rtl w:val="0"/>
        </w:rPr>
        <w:t xml:space="preserve">3., 62.</w:t>
      </w:r>
      <w:r w:rsidR="00000000" w:rsidRPr="00000000" w:rsidDel="00000000">
        <w:rPr>
          <w:vertAlign w:val="superscript"/>
          <w:rtl w:val="0"/>
        </w:rPr>
        <w:t xml:space="preserve">1</w:t>
      </w:r>
      <w:r w:rsidR="00000000" w:rsidRPr="00000000" w:rsidDel="00000000">
        <w:rPr>
          <w:rtl w:val="0"/>
        </w:rPr>
        <w:t xml:space="preserve">4., 62.</w:t>
      </w:r>
      <w:r w:rsidR="00000000" w:rsidRPr="00000000" w:rsidDel="00000000">
        <w:rPr>
          <w:vertAlign w:val="superscript"/>
          <w:rtl w:val="0"/>
        </w:rPr>
        <w:t xml:space="preserve">1</w:t>
      </w:r>
      <w:r w:rsidR="00000000" w:rsidRPr="00000000" w:rsidDel="00000000">
        <w:rPr>
          <w:rtl w:val="0"/>
        </w:rPr>
        <w:t xml:space="preserve">5., 62.</w:t>
      </w:r>
      <w:r w:rsidR="00000000" w:rsidRPr="00000000" w:rsidDel="00000000">
        <w:rPr>
          <w:vertAlign w:val="superscript"/>
          <w:rtl w:val="0"/>
        </w:rPr>
        <w:t xml:space="preserve">1</w:t>
      </w:r>
      <w:r w:rsidR="00000000" w:rsidRPr="00000000" w:rsidDel="00000000">
        <w:rPr>
          <w:rtl w:val="0"/>
        </w:rPr>
        <w:t xml:space="preserve">6., 62.</w:t>
      </w:r>
      <w:r w:rsidR="00000000" w:rsidRPr="00000000" w:rsidDel="00000000">
        <w:rPr>
          <w:vertAlign w:val="superscript"/>
          <w:rtl w:val="0"/>
        </w:rPr>
        <w:t xml:space="preserve">1</w:t>
      </w:r>
      <w:r w:rsidR="00000000" w:rsidRPr="00000000" w:rsidDel="00000000">
        <w:rPr>
          <w:rtl w:val="0"/>
        </w:rPr>
        <w:t xml:space="preserve">7., 62.</w:t>
      </w:r>
      <w:r w:rsidR="00000000" w:rsidRPr="00000000" w:rsidDel="00000000">
        <w:rPr>
          <w:vertAlign w:val="superscript"/>
          <w:rtl w:val="0"/>
        </w:rPr>
        <w:t xml:space="preserve">1</w:t>
      </w:r>
      <w:r w:rsidR="00000000" w:rsidRPr="00000000" w:rsidDel="00000000">
        <w:rPr>
          <w:rtl w:val="0"/>
        </w:rPr>
        <w:t xml:space="preserve">8., 62.</w:t>
      </w:r>
      <w:r w:rsidR="00000000" w:rsidRPr="00000000" w:rsidDel="00000000">
        <w:rPr>
          <w:vertAlign w:val="superscript"/>
          <w:rtl w:val="0"/>
        </w:rPr>
        <w:t xml:space="preserve">1</w:t>
      </w:r>
      <w:r w:rsidR="00000000" w:rsidRPr="00000000" w:rsidDel="00000000">
        <w:rPr>
          <w:rtl w:val="0"/>
        </w:rPr>
        <w:t xml:space="preserve">9., 62.</w:t>
      </w:r>
      <w:r w:rsidR="00000000" w:rsidRPr="00000000" w:rsidDel="00000000">
        <w:rPr>
          <w:vertAlign w:val="superscript"/>
          <w:rtl w:val="0"/>
        </w:rPr>
        <w:t xml:space="preserve">1</w:t>
      </w:r>
      <w:r w:rsidR="00000000" w:rsidRPr="00000000" w:rsidDel="00000000">
        <w:rPr>
          <w:rtl w:val="0"/>
        </w:rPr>
        <w:t xml:space="preserve">10., 62.</w:t>
      </w:r>
      <w:r w:rsidR="00000000" w:rsidRPr="00000000" w:rsidDel="00000000">
        <w:rPr>
          <w:vertAlign w:val="superscript"/>
          <w:rtl w:val="0"/>
        </w:rPr>
        <w:t xml:space="preserve">1</w:t>
      </w:r>
      <w:r w:rsidR="00000000" w:rsidRPr="00000000" w:rsidDel="00000000">
        <w:rPr>
          <w:rtl w:val="0"/>
        </w:rPr>
        <w:t xml:space="preserve">11., 62.</w:t>
      </w:r>
      <w:r w:rsidR="00000000" w:rsidRPr="00000000" w:rsidDel="00000000">
        <w:rPr>
          <w:vertAlign w:val="superscript"/>
          <w:rtl w:val="0"/>
        </w:rPr>
        <w:t xml:space="preserve">1</w:t>
      </w:r>
      <w:r w:rsidR="00000000" w:rsidRPr="00000000" w:rsidDel="00000000">
        <w:rPr>
          <w:rtl w:val="0"/>
        </w:rPr>
        <w:t xml:space="preserve">12., 62.</w:t>
      </w:r>
      <w:r w:rsidR="00000000" w:rsidRPr="00000000" w:rsidDel="00000000">
        <w:rPr>
          <w:vertAlign w:val="superscript"/>
          <w:rtl w:val="0"/>
        </w:rPr>
        <w:t xml:space="preserve">1</w:t>
      </w:r>
      <w:r w:rsidR="00000000" w:rsidRPr="00000000" w:rsidDel="00000000">
        <w:rPr>
          <w:rtl w:val="0"/>
        </w:rPr>
        <w:t xml:space="preserve">13., 62.</w:t>
      </w:r>
      <w:r w:rsidR="00000000" w:rsidRPr="00000000" w:rsidDel="00000000">
        <w:rPr>
          <w:vertAlign w:val="superscript"/>
          <w:rtl w:val="0"/>
        </w:rPr>
        <w:t xml:space="preserve">1</w:t>
      </w:r>
      <w:r w:rsidR="00000000" w:rsidRPr="00000000" w:rsidDel="00000000">
        <w:rPr>
          <w:rtl w:val="0"/>
        </w:rPr>
        <w:t xml:space="preserve">14., 62.</w:t>
      </w:r>
      <w:r w:rsidR="00000000" w:rsidRPr="00000000" w:rsidDel="00000000">
        <w:rPr>
          <w:vertAlign w:val="superscript"/>
          <w:rtl w:val="0"/>
        </w:rPr>
        <w:t xml:space="preserve">1</w:t>
      </w:r>
      <w:r w:rsidR="00000000" w:rsidRPr="00000000" w:rsidDel="00000000">
        <w:rPr>
          <w:rtl w:val="0"/>
        </w:rPr>
        <w:t xml:space="preserve">15. un 62.</w:t>
      </w:r>
      <w:r w:rsidR="00000000" w:rsidRPr="00000000" w:rsidDel="00000000">
        <w:rPr>
          <w:vertAlign w:val="superscript"/>
          <w:rtl w:val="0"/>
        </w:rPr>
        <w:t xml:space="preserve">1</w:t>
      </w:r>
      <w:r w:rsidR="00000000" w:rsidRPr="00000000" w:rsidDel="00000000">
        <w:rPr>
          <w:rtl w:val="0"/>
        </w:rPr>
        <w:t xml:space="preserve">16. apakšpunktā, </w:t>
      </w:r>
      <w:r w:rsidR="00000000" w:rsidRPr="00000000" w:rsidDel="00000000">
        <w:rPr>
          <w:i w:val="1"/>
          <w:rtl w:val="0"/>
        </w:rPr>
        <w:t xml:space="preserve">de minimis</w:t>
      </w:r>
      <w:r w:rsidR="00000000" w:rsidRPr="00000000" w:rsidDel="00000000">
        <w:rPr>
          <w:rtl w:val="0"/>
        </w:rPr>
        <w:t xml:space="preserve"> atbalstu drīkst piešķirt tikai tad, ja tas nodrošina šo nozaru darbību vai uzskaites nodalīšanu. Ja </w:t>
      </w:r>
      <w:r w:rsidR="00000000" w:rsidRPr="00000000" w:rsidDel="00000000">
        <w:rPr>
          <w:i w:val="1"/>
          <w:rtl w:val="0"/>
        </w:rPr>
        <w:t xml:space="preserve">de minimis</w:t>
      </w:r>
      <w:r w:rsidR="00000000" w:rsidRPr="00000000" w:rsidDel="00000000">
        <w:rPr>
          <w:rtl w:val="0"/>
        </w:rPr>
        <w:t xml:space="preserve"> atbalstu piešķir saskaņā ar Komisijas regulu Nr. 1408/2013, to drīkst piešķirt tikai tad, ja atbalsta pretendents nodrošina nozaru darbību vai uzskaites nodalīšanu atbilstoši Komisijas regulas Nr. 1408/2013 1. panta 2. un 3. punktam. Ja </w:t>
      </w:r>
      <w:r w:rsidR="00000000" w:rsidRPr="00000000" w:rsidDel="00000000">
        <w:rPr>
          <w:i w:val="1"/>
          <w:rtl w:val="0"/>
        </w:rPr>
        <w:t xml:space="preserve">de minimis</w:t>
      </w:r>
      <w:r w:rsidR="00000000" w:rsidRPr="00000000" w:rsidDel="00000000">
        <w:rPr>
          <w:rtl w:val="0"/>
        </w:rPr>
        <w:t xml:space="preserve"> atbalstu piešķir saskaņā ar Komisijas regulu Nr. 717/2014, to drīkst piešķirt tikai tad, ja atbalsta pretendents nodrošina nozaru darbību vai uzskaites nodalīšanu atbilstoši Komisijas regulas Nr. 717/2014 1. panta 2. un 3. punktam;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47.2. atbalstu nepiešķir saimnieciskās darbības veicējam, kuram ar tiesas spriedumu ir pasludināts maksātnespējas process, ir ierosināts vai tiek īstenots tiesiskās aizsardzības process vai ja saimnieciskās darbības veicējs atbilst normatīvajos aktos noteiktajiem kritērijiem, uz kuriem pamatojoties kreditors var pieprasīt maksātnespējas procedūru, un lielajam saimnieciskās darbības veicējam, ja tā kredītreitings ir zemāks par "B–", kas norādīts šo noteikumu pielikumā;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47.3. ja tiek pārkāpti Komisijas regulas Nr. 2023/2831, Komisijas regulas Nr. 1408/2013 vai Komisijas regulas Nr. 717/2014 nosacījumi, saimnieciskās darbības veicējam ir pienākums atmaksāt sabiedrībai "Altum"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47.4. lai saņemtu atbalstu, saimnieciskās darbības veicējs sabiedrībā "Altum" iesniedz informāciju par iepriekš piešķirto </w:t>
      </w:r>
      <w:r w:rsidR="00000000" w:rsidRPr="00000000" w:rsidDel="00000000">
        <w:rPr>
          <w:i w:val="1"/>
          <w:rtl w:val="0"/>
        </w:rPr>
        <w:t xml:space="preserve">de </w:t>
      </w:r>
      <w:r w:rsidR="00000000" w:rsidRPr="00000000" w:rsidDel="00000000">
        <w:rPr>
          <w:i w:val="1"/>
          <w:rtl w:val="0"/>
        </w:rPr>
        <w:t xml:space="preserve">minimi</w:t>
      </w:r>
      <w:r w:rsidR="00000000" w:rsidRPr="00000000" w:rsidDel="00000000">
        <w:rPr>
          <w:rtl w:val="0"/>
        </w:rPr>
        <w:t xml:space="preserve">s atbalstu, ievērojot normatīvos aktus par </w:t>
      </w:r>
      <w:r w:rsidR="00000000" w:rsidRPr="00000000" w:rsidDel="00000000">
        <w:rPr>
          <w:i w:val="1"/>
          <w:rtl w:val="0"/>
        </w:rPr>
        <w:t xml:space="preserve">de minimis</w:t>
      </w:r>
      <w:r w:rsidR="00000000" w:rsidRPr="00000000" w:rsidDel="00000000">
        <w:rPr>
          <w:rtl w:val="0"/>
        </w:rPr>
        <w:t xml:space="preserve"> atbalsta uzskaites un piešķiršanas kārtību. Saimnieciskās darbības veicējs iesniedz aizpildītu </w:t>
      </w:r>
      <w:r w:rsidR="00000000" w:rsidRPr="00000000" w:rsidDel="00000000">
        <w:rPr>
          <w:i w:val="1"/>
          <w:rtl w:val="0"/>
        </w:rPr>
        <w:t xml:space="preserve">de minimis</w:t>
      </w:r>
      <w:r w:rsidR="00000000" w:rsidRPr="00000000" w:rsidDel="00000000">
        <w:rPr>
          <w:rtl w:val="0"/>
        </w:rPr>
        <w:t xml:space="preserve"> veidlapas izdruku vai informē par </w:t>
      </w:r>
      <w:r w:rsidR="00000000" w:rsidRPr="00000000" w:rsidDel="00000000">
        <w:rPr>
          <w:i w:val="1"/>
          <w:rtl w:val="0"/>
        </w:rPr>
        <w:t xml:space="preserve">de minimis</w:t>
      </w:r>
      <w:r w:rsidR="00000000" w:rsidRPr="00000000" w:rsidDel="00000000">
        <w:rPr>
          <w:rtl w:val="0"/>
        </w:rPr>
        <w:t xml:space="preserve"> atbalsta uzskaites sistēmā izveidotās un apstiprinātās veidlapas identifikācijas numuru;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47.5. piešķirot </w:t>
      </w:r>
      <w:r w:rsidR="00000000" w:rsidRPr="00000000" w:rsidDel="00000000">
        <w:rPr>
          <w:i w:val="1"/>
          <w:rtl w:val="0"/>
        </w:rPr>
        <w:t xml:space="preserve">de minimis</w:t>
      </w:r>
      <w:r w:rsidR="00000000" w:rsidRPr="00000000" w:rsidDel="00000000">
        <w:rPr>
          <w:rtl w:val="0"/>
        </w:rPr>
        <w:t xml:space="preserve"> atbalstu, atbalsta sniedzējs pārbauda, vai plānotais </w:t>
      </w:r>
      <w:r w:rsidR="00000000" w:rsidRPr="00000000" w:rsidDel="00000000">
        <w:rPr>
          <w:i w:val="1"/>
          <w:rtl w:val="0"/>
        </w:rPr>
        <w:t xml:space="preserve">de minimis</w:t>
      </w:r>
      <w:r w:rsidR="00000000" w:rsidRPr="00000000" w:rsidDel="00000000">
        <w:rPr>
          <w:rtl w:val="0"/>
        </w:rPr>
        <w:t xml:space="preserve"> atbalsts kopā ar iepriekšējos trijos gados piešķirto </w:t>
      </w:r>
      <w:r w:rsidR="00000000" w:rsidRPr="00000000" w:rsidDel="00000000">
        <w:rPr>
          <w:i w:val="1"/>
          <w:rtl w:val="0"/>
        </w:rPr>
        <w:t xml:space="preserve">de minimis</w:t>
      </w:r>
      <w:r w:rsidR="00000000" w:rsidRPr="00000000" w:rsidDel="00000000">
        <w:rPr>
          <w:rtl w:val="0"/>
        </w:rPr>
        <w:t xml:space="preserve"> atbalstu, skaitot no atbalsta piešķiršanas dienas, viena vienota uzņēmuma līmenī nepārsniedz Komisijas regulas Nr. 2023/2831  3. panta 2. punktā vai Komisijas regulas Nr. 1408/2014 3. panta 2. un 3. punktā noteikto maksimālo </w:t>
      </w:r>
      <w:r w:rsidR="00000000" w:rsidRPr="00000000" w:rsidDel="00000000">
        <w:rPr>
          <w:i w:val="1"/>
          <w:rtl w:val="0"/>
        </w:rPr>
        <w:t xml:space="preserve">de minimis</w:t>
      </w:r>
      <w:r w:rsidR="00000000" w:rsidRPr="00000000" w:rsidDel="00000000">
        <w:rPr>
          <w:rtl w:val="0"/>
        </w:rPr>
        <w:t xml:space="preserve"> atbalsta apmēru, kā arī ievēro Komisijas regulas Nr. 2023/2831  3. panta 8. punkta vai Komisijas regulas Nr. 1408/2013 3. panta 9. punkta nosacījumus uzņēmumu apvienošanās vai iegādes gadījumā un Komisijas regulas Nr. 2023/2831  3. panta 9. punkta vai Komisijas regulas Nr. 1408/2013 3. panta 10. punkta nosacījumus uzņēmuma sadalīšanas gadījumā. Atbalsta sniedzējs, piešķirot </w:t>
      </w:r>
      <w:r w:rsidR="00000000" w:rsidRPr="00000000" w:rsidDel="00000000">
        <w:rPr>
          <w:i w:val="1"/>
          <w:rtl w:val="0"/>
        </w:rPr>
        <w:t xml:space="preserve">de minimis</w:t>
      </w:r>
      <w:r w:rsidR="00000000" w:rsidRPr="00000000" w:rsidDel="00000000">
        <w:rPr>
          <w:rtl w:val="0"/>
        </w:rPr>
        <w:t xml:space="preserve"> atbalstu, ievēro, lai tas nepārsniegtu Komisijas regulas Nr. 717/2014  3. panta 2.a un 3. punktā noteikto iepriekš piešķirto atbalstu summu pēdējo triju fiskālo gadu laikā, kā arī ievēro Komisijas regulas Nr. 717/2014  3. panta 8. punkta nosacījumus uzņēmumu apvienošanās vai iegādes gadījumā un Komisijas regulas Nr. 717/2014  3. panta 9. punkta nosacījumus uzņēmuma sadalīšanas gadījumā;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47.6. sabiedrības "Altum" aizdevumam vai paralēlam aizdevumam nepiešķir un nepiemēro kapitāla atlaidi, ja tā pārsniedz šo noteikumu 47.5. apakšpunktā noteiktos limitus;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47.7. atbalstāmi ir ieguldījumi jaunu aktīvu iegādē un ar nemateriālo aktīvu nomu saistītās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47.8. saimnieciskās darbības veicējiem, kas darbojas Komisijas regulas Nr. 2023/2831 1. panta 1. punkta "a", "b", "c" un "d" apakšpunktā noteiktajās nozarēs, </w:t>
      </w:r>
      <w:r w:rsidR="00000000" w:rsidRPr="00000000" w:rsidDel="00000000">
        <w:rPr>
          <w:i w:val="1"/>
          <w:rtl w:val="0"/>
        </w:rPr>
        <w:t xml:space="preserve">de minimis</w:t>
      </w:r>
      <w:r w:rsidR="00000000" w:rsidRPr="00000000" w:rsidDel="00000000">
        <w:rPr>
          <w:rtl w:val="0"/>
        </w:rPr>
        <w:t xml:space="preserve"> atbalsts tiek piešķirts saskaņā ar Komisijas regulu Nr. 1408/2013 vai Komisijas regulu Nr. 717/2014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Izteikt 49.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"49. Sabiedrības "Altum" aizdevuma vai paralēlā aizdevuma minimālā summa saimnieciskās darbības veicējam ir 100 000 </w:t>
      </w:r>
      <w:r w:rsidR="00000000" w:rsidRPr="00000000" w:rsidDel="00000000">
        <w:rPr>
          <w:i w:val="1"/>
          <w:rtl w:val="0"/>
        </w:rPr>
        <w:t xml:space="preserve">euro </w:t>
      </w:r>
      <w:r w:rsidR="00000000" w:rsidRPr="00000000" w:rsidDel="00000000">
        <w:rPr>
          <w:rtl w:val="0"/>
        </w:rPr>
        <w:t xml:space="preserve">un maksimālā summa 5 000 000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Izteikt 50.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 Sabiedrība "Altum" piešķirtā aizdevuma vai paralēlā aizdevuma termiņu nosaka, ņemot vērā saimnieciskās darbības veicēja nozares specifiku, ekonomisko ciklu, aizdevuma  izmantošanas mērķi un iegādājamo aktīvu lietderīgo kalpošanas laiku un amortizācijas termiņu. Sabiedrības "Altum" aizdevuma vai paralēlā aizdevuma, tai skaitā tā pagarinājuma (ja attiecināms), termiņš nepārsniedz 10 gadus."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Izteikt 51.2.2.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"51.2.2. ja tas ir jauns atbalsts, ko sniedz kā </w:t>
      </w:r>
      <w:r w:rsidR="00000000" w:rsidRPr="00000000" w:rsidDel="00000000">
        <w:rPr>
          <w:i w:val="1"/>
          <w:rtl w:val="0"/>
        </w:rPr>
        <w:t xml:space="preserve">de minimis</w:t>
      </w:r>
      <w:r w:rsidR="00000000" w:rsidRPr="00000000" w:rsidDel="00000000">
        <w:rPr>
          <w:rtl w:val="0"/>
        </w:rPr>
        <w:t xml:space="preserve"> atbalstu, un ja atbalstu arī sākotnēji sniedza kā </w:t>
      </w:r>
      <w:r w:rsidR="00000000" w:rsidRPr="00000000" w:rsidDel="00000000">
        <w:rPr>
          <w:i w:val="1"/>
          <w:rtl w:val="0"/>
        </w:rPr>
        <w:t xml:space="preserve">de minimis</w:t>
      </w:r>
      <w:r w:rsidR="00000000" w:rsidRPr="00000000" w:rsidDel="00000000">
        <w:rPr>
          <w:rtl w:val="0"/>
        </w:rPr>
        <w:t xml:space="preserve"> atbalstu. Ja saimnieciskās darbības veicējs atbilst valsts atbalsta saņemšanas prasībām, atbalstu saimnieciskās darbības veicējam piešķir, kad sabiedrība "Altum" ir pieņēmusi jaunu lēmumu, kurā ir noteikts atbalsta maksimālais apmērs."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Izteikt 52.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 Sabiedrības "Altum" aizdevuma vai paralēlā aizdevuma pamatsummas atmaksu saimnieciskās darbības veicējs uzsāk astoņu mēnešu laikā pēc projekta pabeigšanas, ja nav saņemts nekāds atzinums vai ja saņemts negatīvs atzinums. Aizdevuma vai paralēlā aizdevuma pamatsummas daļu, ko saimnieciskās darbības veicējs atmaksājis sabiedrībai "Altum" līdz brīdim, kad saņemts pozitīvs atzinums, saimnieciskās darbības veicējam atpakaļ neatdod un par šo summu tiek samazināta projektam pieejamā kapitāla atlaide."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Izteikt 53.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 Kapitāla atlaide ir līdz 35 % no investīciju projekta kopējā apjoma, bet ne vairāk kā 200 000 </w:t>
      </w:r>
      <w:r w:rsidR="00000000" w:rsidRPr="00000000" w:rsidDel="00000000">
        <w:rPr>
          <w:i w:val="1"/>
          <w:rtl w:val="0"/>
        </w:rPr>
        <w:t xml:space="preserve">euro</w:t>
      </w:r>
      <w:r w:rsidR="00000000" w:rsidRPr="00000000" w:rsidDel="00000000">
        <w:rPr>
          <w:rtl w:val="0"/>
        </w:rPr>
        <w:t xml:space="preserve">, nepārsniedzot šo noteikumu ietvaros noteikto pieļaujamo atbalsta intensitāti vai saimnieciskās darbības veicējam pieejamo </w:t>
      </w:r>
      <w:r w:rsidR="00000000" w:rsidRPr="00000000" w:rsidDel="00000000">
        <w:rPr>
          <w:i w:val="1"/>
          <w:rtl w:val="0"/>
        </w:rPr>
        <w:t xml:space="preserve">de minimis</w:t>
      </w:r>
      <w:r w:rsidR="00000000" w:rsidRPr="00000000" w:rsidDel="00000000">
        <w:rPr>
          <w:rtl w:val="0"/>
        </w:rPr>
        <w:t xml:space="preserve"> limita apmēru."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Izteikt 54.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 Sabiedrības "Altum" aizdevumam vai paralēlam aizdevumam kapitāla atlaidi var piemērot, ja saimnieciskās darbības veicējs ne vēlāk kā sešu mēnešu laikā pēc projekta pabeigšanas iesniedzis pozitīvu atzinumu."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Izteikt 56.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 Saimnieciskās darbības veicējs nodrošina informācijas un publicitātes pasākumus saskaņā ar Eiropas Parlamenta un Padomes 2021. gada 12. februāra Regulas Nr. 2021/241, ar ko izveido Atveseļošanas un noturības mehānismu, 34. pantu un Eiropas Komisijas un Latvijas Republikas Atveseļošanas un noturības mehānisma finansēšanas nolīguma 10. pantu, kā arī atbilstoši publicitātes prasībām, kas noteiktas aizdevuma līgumā ar sabiedrību "Altum"."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Izteikt 57.1.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"57.1. sabiedrības "Altum" aizdevumam vai paralēlajam aizdevumam, kas ir vienāds ar piešķirto kapitāla atlaidi, subsīdijas ekvivalents ir vienāds ar saimnieciskās darbības veicējam piešķirtā sabiedrības "Altum" aizdevuma vai paralēlā aizdevuma apmēru;".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Izteikt 57.2.1.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"57.2.1. sabiedrības "Altum" aizdevuma vai paralēlā aizdevuma daļai, kas ir vienāda ar piešķirto kapitāla atlaidi, subsīdijas ekvivalents ir vienāds ar saimnieciskās darbības veicējam piešķirto kapitāla atlaides apmēru;".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Izteikt 59.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"59. Šo noteikumu ietvaros piešķirto </w:t>
      </w:r>
      <w:r w:rsidR="00000000" w:rsidRPr="00000000" w:rsidDel="00000000">
        <w:rPr>
          <w:i w:val="1"/>
          <w:rtl w:val="0"/>
        </w:rPr>
        <w:t xml:space="preserve">de minimis</w:t>
      </w:r>
      <w:r w:rsidR="00000000" w:rsidRPr="00000000" w:rsidDel="00000000">
        <w:rPr>
          <w:rtl w:val="0"/>
        </w:rPr>
        <w:t xml:space="preserve"> atbalstu drīkst apvienot ar citu </w:t>
      </w:r>
      <w:r w:rsidR="00000000" w:rsidRPr="00000000" w:rsidDel="00000000">
        <w:rPr>
          <w:i w:val="1"/>
          <w:rtl w:val="0"/>
        </w:rPr>
        <w:t xml:space="preserve">de minimis</w:t>
      </w:r>
      <w:r w:rsidR="00000000" w:rsidRPr="00000000" w:rsidDel="00000000">
        <w:rPr>
          <w:rtl w:val="0"/>
        </w:rPr>
        <w:t xml:space="preserve"> atbalstu, tai skaitā attiecībā uz vienām un tām pašām attiecināmajām izmaksām, līdz Komisijas regulas Nr. 2023/2831 3. panta 2. punktā, Komisijas regulas Nr. 1408/2013 3. panta 2. punktā vai Komisijas regulas Nr. 717/2014 3. panta 2.a punktā noteiktajam attiecīgajam robežlielumam, kā arī drīkst apvienot ar citu komercdarbības atbalstu, tai skaitā attiecībā uz vienām un tām pašām attiecināmajām izmaksām (arī šīs programmas ietvaros), vai citu valsts atbalstu tam pašam riska finansējuma pasākumam, ja netiek pārsniegta attiecīgā maksimālā atbalsta intensitāte vai atbalsta summa, kāda noteikta komercdarbības atbalsta programmā, </w:t>
      </w:r>
      <w:r w:rsidR="00000000" w:rsidRPr="00000000" w:rsidDel="00000000">
        <w:rPr>
          <w:i w:val="1"/>
          <w:rtl w:val="0"/>
        </w:rPr>
        <w:t xml:space="preserve">ad-hoc</w:t>
      </w:r>
      <w:r w:rsidR="00000000" w:rsidRPr="00000000" w:rsidDel="00000000">
        <w:rPr>
          <w:rtl w:val="0"/>
        </w:rPr>
        <w:t xml:space="preserve"> lēmumā vai Eiropas Komisijas lēmumā. Piešķirot </w:t>
      </w:r>
      <w:r w:rsidR="00000000" w:rsidRPr="00000000" w:rsidDel="00000000">
        <w:rPr>
          <w:i w:val="1"/>
          <w:rtl w:val="0"/>
        </w:rPr>
        <w:t xml:space="preserve">de minimis</w:t>
      </w:r>
      <w:r w:rsidR="00000000" w:rsidRPr="00000000" w:rsidDel="00000000">
        <w:rPr>
          <w:rtl w:val="0"/>
        </w:rPr>
        <w:t xml:space="preserve"> atbalstu, ievēro Komisijas regulas Nr. 2023/2831 5. panta 1., 2. un 3. punktā vai Komisijas regulas Nr. 717/2014 5. panta 1., 2. un 3. punktā, vai Komisijas regulas Nr. 1408/2013 5. panta 1., 2., 2.a un 3. punktā noteiktos </w:t>
      </w:r>
      <w:r w:rsidR="00000000" w:rsidRPr="00000000" w:rsidDel="00000000">
        <w:rPr>
          <w:i w:val="1"/>
          <w:rtl w:val="0"/>
        </w:rPr>
        <w:t xml:space="preserve">de minimis</w:t>
      </w:r>
      <w:r w:rsidR="00000000" w:rsidRPr="00000000" w:rsidDel="00000000">
        <w:rPr>
          <w:rtl w:val="0"/>
        </w:rPr>
        <w:t xml:space="preserve"> atbalsta apvienošanas nosacījumus. </w:t>
      </w:r>
      <w:r w:rsidR="00000000" w:rsidRPr="00000000" w:rsidDel="00000000">
        <w:rPr>
          <w:i w:val="1"/>
          <w:rtl w:val="0"/>
        </w:rPr>
        <w:t xml:space="preserve">De minimis</w:t>
      </w:r>
      <w:r w:rsidR="00000000" w:rsidRPr="00000000" w:rsidDel="00000000">
        <w:rPr>
          <w:rtl w:val="0"/>
        </w:rPr>
        <w:t xml:space="preserve"> atbalstu ar citu </w:t>
      </w:r>
      <w:r w:rsidR="00000000" w:rsidRPr="00000000" w:rsidDel="00000000">
        <w:rPr>
          <w:i w:val="1"/>
          <w:rtl w:val="0"/>
        </w:rPr>
        <w:t xml:space="preserve">de minimis</w:t>
      </w:r>
      <w:r w:rsidR="00000000" w:rsidRPr="00000000" w:rsidDel="00000000">
        <w:rPr>
          <w:rtl w:val="0"/>
        </w:rPr>
        <w:t xml:space="preserve"> atbalstu par vienām un tām pašām izmaksām var apvienot, ja pēc atbalstu apvienošanas atbalsta vienībai vai izmaksu pozīcijai attiecīgā maksimālā atbalsta intensitāte nepārsniedz 100 %."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Izteikt 60.4.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"60.4. publicē savā tīmekļvietnē visu to saimnieciskās darbības veicēju sarakstu, kuri atbilstoši šiem noteikumiem ir saņēmuši aizdevumu. Sarakstā norāda saimnieciskās darbības veicējam piešķirtā sabiedrības "Altum" aizdevuma un kapitāla atlaides apmēru;".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Izteikt 60.6.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"60.6. pārliecinās, ka, sniedzot atbalstu, saimnieciskās darbības veicējam netiek piešķirts dubultfinansējums par vienām un tām pašām attiecināmajām izmaksām;".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Izteikt 61.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 Saimnieciskās darbības veicējs: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61.1. nodrošina informācijas uzskaiti par sniegto finansējumu atbilstoši Komisijas regulas Nr. 651/2014 12. pantam un glabā to 10 gadus no dienas, kad atbilstoši šo noteikumu 22.</w:t>
      </w:r>
      <w:r w:rsidR="00000000" w:rsidRPr="00000000" w:rsidDel="00000000">
        <w:rPr>
          <w:vertAlign w:val="superscript"/>
          <w:rtl w:val="0"/>
        </w:rPr>
        <w:t xml:space="preserve">1</w:t>
      </w:r>
      <w:r w:rsidR="00000000" w:rsidRPr="00000000" w:rsidDel="00000000">
        <w:rPr>
          <w:rtl w:val="0"/>
        </w:rPr>
        <w:t xml:space="preserve">punktam ir piešķirts reģionālais atbalsts saskaņā ar Komisijas regulas Nr. 651/2014 14. pantu, un informāciju pēc pieprasījuma iesniedz Ekonomikas ministrijai, Finanšu ministrijai kā revīzijas iestādei, Eiropas Savienības Atveseļošanas un noturības mehānisma plāna koordinatoram, Centrālajai finanšu un līgumu aģentūrai vai Eiropas Komisijai;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61.2. aizdevuma pieteikumā reģionālā atbalsta piešķiršanai saskaņā ar šo noteikumu 22.</w:t>
      </w:r>
      <w:r w:rsidR="00000000" w:rsidRPr="00000000" w:rsidDel="00000000">
        <w:rPr>
          <w:vertAlign w:val="superscript"/>
          <w:rtl w:val="0"/>
        </w:rPr>
        <w:t xml:space="preserve">1</w:t>
      </w:r>
      <w:r w:rsidR="00000000" w:rsidRPr="00000000" w:rsidDel="00000000">
        <w:rPr>
          <w:rtl w:val="0"/>
        </w:rPr>
        <w:t xml:space="preserve"> punktu pamato un projekta īstenošanas laikā nodrošina darbības vai izmaksu nošķiršanu saskaņā ar Komisijas regulas Nr. 651/2014 1. panta 3. punktu, ja tas vienlaikus darbojas saskaņā ar šiem noteikumiem atbalstāmajās un neatbalstāmajās nozarēs un darbībās;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61.3. informāciju par </w:t>
      </w:r>
      <w:r w:rsidR="00000000" w:rsidRPr="00000000" w:rsidDel="00000000">
        <w:rPr>
          <w:i w:val="1"/>
          <w:rtl w:val="0"/>
        </w:rPr>
        <w:t xml:space="preserve">de minimis</w:t>
      </w:r>
      <w:r w:rsidR="00000000" w:rsidRPr="00000000" w:rsidDel="00000000">
        <w:rPr>
          <w:rtl w:val="0"/>
        </w:rPr>
        <w:t xml:space="preserve"> atbalstu, kas piešķirts saskaņā ar Komisijas regulu Nr. 2023/2831, Komisijas regulu Nr. 717/2014 vai Komisijas regulu Nr. 1408/2013, glabā 10 gadus no atbalsta piešķiršanas dienas."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Izteikt 62.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 Atbalsts netiek sniegts šādām darbībām, nozarēm, iekārtām un saimnieciskās darbības veicējiem: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1. Komisijas regulas Nr. 2023/28311. panta 1. punktā noteiktajās neatbalstāmajās nozarēs un darbībās, ja gala labuma guvējs pretendē uz atbalstu saskaņā ar Komisijas regulu Nr. 2023/2831. Ja saimnieciskās darbības veicējs piesakās atbalstam saskaņā ar Komisijas regulu Nr. 1408/2013 vai Komisijas regulu Nr. 717/2014, attiecīgi atbalsts netiek piešķirts par Komisijas regulas Nr. 1408/2013 1. panta 1. punktā vai  Komisijas regulas Nr. 717/2014 1. panta 1. punktā noteiktajām darbībām;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2. ieroču un munīcijas tirdzniecībai (Saimniecisko darbību statistiskās klasifikācijas Eiropas Kopienā 2.1. redakcijas (turpmāk – NACE 2.1. red.) klase 47.63 "Sporta aprīkojuma mazumtirdzniecība");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3. azartspēlēm un derībām (NACE 2.1. red. 92. nodaļa "Azartspēles un derības");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4. tabakas izstrādājumu ražošanai un tirdzniecībai (NACE 2.1. red. 12. nodaļa "Tabakas izstrādājumu ražošana", grupa 46.35 "Tabakas izstrādājumu vairumtirdzniecība" un grupa 47.26 "Tabakas izstrādājumu mazumtirdzniecība");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5. alkohola tirdzniecībai (NACE 2.1. red. grupa 46.34 "Dzērienu vairumtirdzniecība" un grupa 47.25 "Dzērienu mazumtirdzniecība");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6. operācijām ar nekustamo īpašumu (NACE 2.1. red. M sadaļa "Operācijas ar nekustamo īpašumu", grupa 68.1 "Operācijas ar savu nekustamo īpašumu un būvniecības projektu attīstīšana", klase 68.31 "Starpniecības pakalpojumi operācijās ar nekustamo īpašumu");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7. atkritumu savākšanai, apstrādei un izvietošanai, materiālu pārstrādei (NACE 2.1. red. klase 38.31 "Sadedzināšana bez enerģijas atgūšanas", klase 38.32 "Apglabāšana poligonā vai pastāvīga glabāšana" un klase 38.33 "Cita atkritumu likvidēšana");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8. Komisijas regulas Nr. 651/2014 1. panta 2. punkta "c" un "d" apakšpunktā noteiktajās neatbalstāmajās nozarēs un darbībās, ja gala labuma guvējs pretendē uz atbalstu saskaņā ar Komisijas regulu Nr. 651/2014;</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9. Komisijas regulas Nr. 651/2014 1. panta 3. punktā noteiktajās neatbalstāmajās nozarēs un darbībās atbilstoši Komisijas regulas Nr. 651/2014 2. panta 8., 9., 10. un 11. punktā noteiktajām definīcijām, ja gala labuma guvējs pretendē uz atbalstu saskaņā ar Komisijas regulu Nr. 651/2014;</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10. Komisijas regulas Nr. 651/2014 13. panta "a" un "b" punktā noteiktajās nozarēs, ja gala labuma guvējs pretendē uz atbalstu saskaņā ar Komisijas regulu Nr. 651/2014:</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10.1. Komisijas regulas Nr. 651/2014 13. panta "a" punktā noteiktajās nozarēs atbilstoši Komisijas regulas Nr. 651/2014 2. panta 13., 43. un 43.a punktā noteiktajām definīcijām;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10.2. Komisijas regulas Nr. 651/2014 13. panta "b" punktā noteiktajās nozarēs atbilstoši Komisijas regulas Nr. 651/2014 2. panta 45. un 130. punktā noteiktajām definīcijām un platjoslas tīkla attīstīšanai;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11. iekārtu un to programmatūru iegādei un nomai, kas saistīta ar atkritumu savākšanu, uzglabāšanu, apstrādi, pārstrādi un apglabāšanu;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12. darbībām, kas saistītas ar fosilo kurināmo, tostarp tā pārkārtotu izmantošanu, tai skaitā elektroenerģijas vai siltuma ražošanas projektiem, kā arī saistīto pārvades un sadales infrastruktūru projektiem, izmantojot dabasgāzi;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13. darbībām, kas saistītas ar atkritumu poligoniem, sadedzināšanas iekārtām un mehāniski bioloģiskās apstrādes iekārtām;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14. darbībām saistībā ar kvotu tirdzniecības sistēmu, lai sasniegtu prognozētās CO</w:t>
      </w:r>
      <w:r w:rsidR="00000000" w:rsidRPr="00000000" w:rsidDel="00000000">
        <w:rPr>
          <w:vertAlign w:val="subscript"/>
          <w:rtl w:val="0"/>
        </w:rPr>
        <w:t xml:space="preserve">2</w:t>
      </w:r>
      <w:r w:rsidR="00000000" w:rsidRPr="00000000" w:rsidDel="00000000">
        <w:rPr>
          <w:rtl w:val="0"/>
        </w:rPr>
        <w:t xml:space="preserve"> emisijas;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15. finanšu un apdrošināšanas darbība (NACE 2.1. red. L sadaļa "Finanšu un apdrošināšanas darbības");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16. uzsāktu projektu īstenošanai, ja atbalstu piešķir kā reģionālo atbalstu saskaņā ar Komisijas regulas Nr. 651/2014 14. pantu."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Izteikt 64.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"64. Lēmumu par </w:t>
      </w:r>
      <w:r w:rsidR="00000000" w:rsidRPr="00000000" w:rsidDel="00000000">
        <w:rPr>
          <w:i w:val="1"/>
          <w:rtl w:val="0"/>
        </w:rPr>
        <w:t xml:space="preserve">de minimis</w:t>
      </w:r>
      <w:r w:rsidR="00000000" w:rsidRPr="00000000" w:rsidDel="00000000">
        <w:rPr>
          <w:rtl w:val="0"/>
        </w:rPr>
        <w:t xml:space="preserve"> atbalsta piešķiršanu saskaņā ar šo noteikumu 22. punktu pieņem, ievērojot Komisijas regulas Nr. 2023/2831 7. panta 3. punktā un 8. pantā, Komisijas regulas Nr. 1408/2013 7. panta 4. punktā un 8. pantā un Komisijas regulas Nr. 717/2014 7. panta 4. punktā un 8. pantā minēto termiņu."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24-TA-3304</w:t>
    </w:r>
    <w:r>
      <w:br/>
    </w:r>
    <w:r w:rsidR="00000000" w:rsidRPr="00000000" w:rsidDel="00000000">
      <w:rPr>
        <w:rtl w:val="0"/>
      </w:rPr>
      <w:t xml:space="preserve">Izdrukāts 29.07.2026. 23.51 - 1.0.VK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24-TA-3304</w:t>
    </w:r>
    <w:r>
      <w:br/>
    </w:r>
    <w:r w:rsidR="00000000" w:rsidRPr="00000000" w:rsidDel="00000000">
      <w:rPr>
        <w:rtl w:val="0"/>
      </w:rPr>
      <w:t xml:space="preserve">Izdrukāts 29.07.2026. 23.51 - 1.0.VK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noteikumu_(grozījumu)_projekts_24-TA-3304.docx</dc:title>
</cp:coreProperties>
</file>

<file path=docProps/custom.xml><?xml version="1.0" encoding="utf-8"?>
<Properties xmlns="http://schemas.openxmlformats.org/officeDocument/2006/custom-properties" xmlns:vt="http://schemas.openxmlformats.org/officeDocument/2006/docPropsVTypes"/>
</file>