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novembra noteikumos Nr. 635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piekto daļu, </w:t>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septīto daļu, 30.</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sesto un septīto daļu, </w:t>
      </w:r>
      <w:r w:rsidR="00000000" w:rsidRPr="00000000" w:rsidDel="00000000">
        <w:rPr>
          <w:rStyle w:val="paragraph"/>
          <w:i w:val="1"/>
          <w:rtl w:val="0"/>
        </w:rPr>
        <w:t xml:space="preserve">32. panta</w:t>
      </w:r>
      <w:r w:rsidR="00000000" w:rsidRPr="00000000" w:rsidDel="00000000">
        <w:rPr>
          <w:rStyle w:val="paragraph"/>
          <w:i w:val="1"/>
          <w:rtl w:val="0"/>
        </w:rPr>
        <w:t xml:space="preserve"> trešo un piekto daļu, </w:t>
      </w:r>
      <w:r w:rsidR="00000000" w:rsidRPr="00000000" w:rsidDel="00000000">
        <w:rPr>
          <w:rStyle w:val="paragraph"/>
          <w:i w:val="1"/>
          <w:rtl w:val="0"/>
        </w:rPr>
        <w:t xml:space="preserve">33. panta</w:t>
      </w:r>
      <w:r w:rsidR="00000000" w:rsidRPr="00000000" w:rsidDel="00000000">
        <w:rPr>
          <w:rStyle w:val="paragraph"/>
          <w:i w:val="1"/>
          <w:rtl w:val="0"/>
        </w:rPr>
        <w:t xml:space="preserve"> septīto daļu, </w:t>
      </w:r>
      <w:r w:rsidR="00000000" w:rsidRPr="00000000" w:rsidDel="00000000">
        <w:rPr>
          <w:rStyle w:val="paragraph"/>
          <w:i w:val="1"/>
          <w:rtl w:val="0"/>
        </w:rPr>
        <w:t xml:space="preserve">34. panta</w:t>
      </w:r>
      <w:r w:rsidR="00000000" w:rsidRPr="00000000" w:rsidDel="00000000">
        <w:rPr>
          <w:rStyle w:val="paragraph"/>
          <w:i w:val="1"/>
          <w:rtl w:val="0"/>
        </w:rPr>
        <w:t xml:space="preserve"> trešo daļu, </w:t>
      </w:r>
      <w:r w:rsidR="00000000" w:rsidRPr="00000000" w:rsidDel="00000000">
        <w:rPr>
          <w:rStyle w:val="paragraph"/>
          <w:i w:val="1"/>
          <w:rtl w:val="0"/>
        </w:rPr>
        <w:t xml:space="preserve">35. panta</w:t>
      </w:r>
      <w:r w:rsidR="00000000" w:rsidRPr="00000000" w:rsidDel="00000000">
        <w:rPr>
          <w:rStyle w:val="paragraph"/>
          <w:i w:val="1"/>
          <w:rtl w:val="0"/>
        </w:rPr>
        <w:t xml:space="preserve"> otro daļu, </w:t>
      </w:r>
      <w:r w:rsidR="00000000" w:rsidRPr="00000000" w:rsidDel="00000000">
        <w:rPr>
          <w:rStyle w:val="paragraph"/>
          <w:i w:val="1"/>
          <w:rtl w:val="0"/>
        </w:rPr>
        <w:t xml:space="preserve">37.</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w:t>
      </w:r>
      <w:r w:rsidR="00000000" w:rsidRPr="00000000" w:rsidDel="00000000">
        <w:rPr>
          <w:rStyle w:val="paragraph"/>
          <w:i w:val="1"/>
          <w:rtl w:val="0"/>
        </w:rPr>
        <w:t xml:space="preserve"> desmito daļu, pārejas noteikumu </w:t>
      </w:r>
      <w:r w:rsidR="00000000" w:rsidRPr="00000000" w:rsidDel="00000000">
        <w:rPr>
          <w:rStyle w:val="paragraph"/>
          <w:i w:val="1"/>
          <w:rtl w:val="0"/>
        </w:rPr>
        <w:t xml:space="preserve">99.</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r w:rsidR="00000000" w:rsidRPr="00000000" w:rsidDel="00000000">
        <w:rPr>
          <w:rStyle w:val="paragraph"/>
          <w:i w:val="1"/>
          <w:rtl w:val="0"/>
        </w:rPr>
        <w:t xml:space="preserve"> un </w:t>
      </w:r>
      <w:r w:rsidR="00000000" w:rsidRPr="00000000" w:rsidDel="00000000">
        <w:rPr>
          <w:rStyle w:val="paragraph"/>
          <w:i w:val="1"/>
          <w:rtl w:val="0"/>
        </w:rPr>
        <w:t xml:space="preserve">likuma "Par sabiedrisko pakalpojumu regulatoriem" 22.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7. novembra noteikumos Nr. 635 "Elektroenerģijas tirdzniecības un lietošanas noteikumi" (Latvijas Vēstnesis, 2023, 218. nr.; 2024, 27., 108., 114., 237. nr.; 2025, 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līgums par balansatbildības nodrošināšanu – līgums, ko slēdz balansatbildīgā puse un elektroenerģijas tirgus dalībnieks par balansatbildības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pēdējā garantētā piegāde – elektroenerģijas piegāde tādam lietotājam, kurš ir pārtraucis darbību elektroenerģijas tirgū un pērk elektroenerģiju no pēdējā garantētā piegādātāja vai kuram nav līguma par balansatbildības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Elektroenerģijas komercuzskaites mēraparātus uzstāda sistēmas operators, un tie ir sistēmas operatora īpašums.";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Elektroenerģijas piegāde lietotājam notiek saskaņā ar sistēmas pakalpojumu līgumu, elektroenerģijas tirdzniecības līgumu un līgumu par balansatbildības nodrošināšanu, kas var būt elektroenerģijas tirdzniecības līguma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Lietotājs, kam pieder vairāki elektroenerģiju patērējoši objekti vai kurš tajos lieto elektroenerģiju, ir tiesīgs slēgt vienu vai vairākus līgumus par balansatbildības nodrošināšanu, tos visus slēdzot ar vienu vai vairākiem tirgotājiem par vienu vai vairākiem elektroenerģiju patērējošiem objektiem.";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Lietotājs ir tiesīgs slēgt elektroenerģijas tirdzniecības līgumu ar vairākiem tirgotājiem arī par vienā objektā patērēto elektroenerģiju. Šādā gadījumā tikai viens tirgotājs ir tiesīgs nodrošināt balansatbildību un šo noteikumu 35. punktā minētos pienākumus drīkst deleģēt tikai tirgotājam, kurš nodrošina balansatbildību.";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Lietotājam ir tiesības pieprasīt un sistēmas operatoram ir pienākums sniegt nepieciešamo informāciju, kas saistīta ar piekļuvi sistēmai, sistēmas pakalpojumu un balansatbildības nodrošināšanu, norēķiniem, kā arī ar neparedzētiem elektroenerģijas piegādes pārtraukumiem un to novēršanas gaitu.";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"63.11. noslēgt līgumu par balansatbildības nodrošināšanu ar pārvades sistēmas operatoru vai balansatbildīgo pusi (neattiecas uz mājsaimniecības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63.12.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"63.12. vienoties ar balansatbildīgo pusi par kārtību, kādā var tikt veiktas fiksētās elektroenerģijas piegādes (neattiecas uz mājsaimniecības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Tirgotājam ir pienākums: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 līdz kārtējā mēneša divdesmit piektajam datumam pēc norēķinu perioda beigām mājsaimniecības lietotāja un šo noteikumu 35. punktā minēto lietotāju vārdā norēķināties ar sistēmas operatoru par lietotājam sniegtajiem sistēmas pakalpojumiem un citiem pakalpojumiem saskaņā ar spēkā esošajiem sistēmas pakalpojumu tarifiem un cenrādi;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 informēt sadales sistēmas operatoru par izmaiņām lietotāja kontaktinformācijā.";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88.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Sistēmas operators informācijas apmaiņai ar lietotāju ir tiesīgs izmantot tirgotāja iesniegto lietotāja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Ja sistēmas pakalpojuma neplānota pārtraukuma novēršanas ilgums sadales sistēmas lietotāja objektā pārsniedz 12 stundas, izņemot šo noteikumu 93. punktā minētos gadījumus, sadales sistēmas operators, kura sadales tīkliem pieslēgti vairāk par simt tūkstošiem lietotāju, lietotājam piemēro kompensāciju.";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92.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Šo noteikumu 92. punktā minēto kompensāciju aprēķina par katru norēķinu periodu, kurā konstatēts sistēmas pakalpojuma neplānots pārtraukums, ietverot tajā šādas komponentes: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1. sistēmas pakalpojuma tarifa maksa par pieslēguma nodrošināšanu – pilnā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2. sistēmas pakalpojuma tarifa maksa par elektroenerģijas piegādi – 20 %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106.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Sistēmas operators par samaksu nodrošina tirgotājam – balansatbildīgajai pusei – operatīvu informāciju par tā lietotāju elektroenerģijas patēriņu un slodzes profilu, ja šāda informācija ir sistēmas operatora rīcībā.";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Sistēmas operators var pieprasīt no tirgotāja finanšu garantijas norēķinu periodā paredzamā sistēmas pakalpojumu un citu pakalpojumu maksājuma apmērā, ja tirgotājs nav ievērojis šo noteikumu 87.1. apakšpunktā minēto samaksas termiņu. Sistēmas operators var izmantot minētās garantijas, ja līgumā paredzētajā termiņā nesaņem rēķinā norādīto maksu par sistēmas pakalpojumiem un citiem pakalpojumiem. Tirgotājs nekavējoties informē sistēmas operatoru par norēķinu kavēšanās iemesliem un atjauno izmantoto garantiju pilnā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117.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Sistēmas operatoram ir tiesības vienpusēji izbeigt sistēmas lietošanas līgumu ar tirgotāju, ja tirgotājs sistēmas operatora noteiktajā termiņā nav veicis samaksu par saņemtajiem sistēmas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XII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"XII. Tirgotāja – balansatbildīgās puses – maiņa";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129.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 Lietotājam, kuram par kādu elektroenerģiju patērējošo objektu vai objektiem nav spēkā esoša elektroenerģijas tirdzniecības līguma vai līguma par balansatbildības nodrošināšanu un kurš nesaņem universālo pakalpojumu, līdz jauna elektroenerģijas tirdzniecības līguma vai līguma par balansatbildības nodrošināšanu noslēgšanai elektroenerģijas piegādi attiecīgā objekta vai objektu vajadzībām pēdējās garantētās piegādes ietvaros nodrošina sistēmas operatora izvēlēts tirgotājs šo noteikumu XIII nodaļā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132.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Sistēmas operatoram pēc tirgotāja pieprasījuma ir jāsniedz informācija par lietotāja elektroenerģijas patēriņa un slodzes profila vēsturi, ja šāda informācija ir sistēmas operatora rīcībā un ja tirgotājs ir saņēmis lietotāja piekrišanu vai pastāv cits tiesiskais pamats tās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133.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Ja lietotājam par kādu objektu nav spēkā esoša elektroenerģijas tirdzniecības līguma vai līguma par balansatbildības nodrošināšanu un tas nesaņem universālo pakalpojumu, elektroenerģijas piegāde attiecīgajiem lietotāja objektiem notiek pēdējās garantētās piegādes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pēdējā garantētā piegādātāja noteikts uzcenojums. Ja objektā nav uzstādīts viedais elektroenerģijas komercuzskaites mēraparāts, katru mēnesi patērētās elektroenerģijas proporcionālo sadalījumu pa tirdzniecības intervāliem nosaka saskaņā ar tipveida slodžu grafiku, kas publicēts sadales sistēmas operatora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135.</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5</w:t>
      </w:r>
      <w:r w:rsidR="00000000" w:rsidRPr="00000000" w:rsidDel="00000000">
        <w:rPr>
          <w:rtl w:val="0"/>
        </w:rPr>
        <w:t xml:space="preserve"> Sadales sistēmas operatoram ir pienākums veikt šo noteikumu 135.</w:t>
      </w:r>
      <w:r w:rsidR="00000000" w:rsidRPr="00000000" w:rsidDel="00000000">
        <w:rPr>
          <w:vertAlign w:val="superscript"/>
          <w:rtl w:val="0"/>
        </w:rPr>
        <w:t xml:space="preserve">4</w:t>
      </w:r>
      <w:r w:rsidR="00000000" w:rsidRPr="00000000" w:rsidDel="00000000">
        <w:rPr>
          <w:rtl w:val="0"/>
        </w:rPr>
        <w:t xml:space="preserve"> punktā minētā rēķina apmaksu, ja ir saņemta Finanšu izlūkošanas dienesta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138.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"138. Lietotājam, kura elektroietaises ir pieslēgtas pārvades sistēmai, pēdējo garantēto piegādi veic pārvades sistēmas operators par norēķinu perioda jebkurā tirdzniecības intervālā fiksēto augstāko nebalansa cenu.";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139.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Ja pēdējais garantētais piegādātājs ir pārvades sistēmas operators, tas pirms pēdējās garantētās piegādes uzsākšanas ir tiesīgs pieprasīt no lietotāja finanšu garantijas norēķinu periodā paredzamā sistēmas pakalpojumu un palīgpakalpojumu (tajā skaitā balansatbildības nodrošināšanas)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163.3.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informāciju par balansatbildības nodrošināšanas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papildināt ar 173.</w:t>
      </w:r>
      <w:r w:rsidR="00000000" w:rsidRPr="00000000" w:rsidDel="00000000">
        <w:rPr>
          <w:vertAlign w:val="superscript"/>
          <w:rtl w:val="0"/>
        </w:rPr>
        <w:t xml:space="preserve">14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14</w:t>
      </w:r>
      <w:r w:rsidR="00000000" w:rsidRPr="00000000" w:rsidDel="00000000">
        <w:rPr>
          <w:rtl w:val="0"/>
        </w:rPr>
        <w:t xml:space="preserve"> Šo noteikumu 87.2. apakšpunkts stājas spēkā 2026. gada 1. augustā."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1.13. un 1.14. apakšpunkts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25-TA-3090</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25-TA-3090</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noteikumu_(grozījumu)_projekts_25-TA-3090.docx</dc:title>
</cp:coreProperties>
</file>

<file path=docProps/custom.xml><?xml version="1.0" encoding="utf-8"?>
<Properties xmlns="http://schemas.openxmlformats.org/officeDocument/2006/custom-properties" xmlns:vt="http://schemas.openxmlformats.org/officeDocument/2006/docPropsVTypes"/>
</file>