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748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26. novembrī (prot. Nr. 50 47.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1.2.2. specifiskā atbalsta mērķa "Izmantot digitalizācijas priekšrocības uzņēmējdarbības attīstībai" 1.2.2.1. pasākuma "Atbalsts procesu digitalizācijai komercdarbībā"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1.2.2. specifiskā atbalsta mērķa "Izmantot digitalizācijas priekšrocības uzņēmējdarbības attīstībai" 1.2.2.1. pasākumu "Atbalsts procesu digitalizācijai komercdarbībā"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 sīkais (mikro), mazais un vidējais komersants (tai skaitā juridiskas personas ārvalstu filiāle, zemnieku saimniecība, kooperatīvā sabiedrība), kas atbilst sīkā (mikro), mazā vai vidējā saimnieciskās darbības subjekta statusam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2. panta 2. punktu, mazas vidējas kapitalizācijas sabiedrības saskaņā ar Eiropas Parlamenta un Padomes 2015. gada 25. jūnija Regulas (ES) Nr.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(turpmāk – regula </w:t>
      </w:r>
      <w:r w:rsidR="00000000" w:rsidRPr="00000000" w:rsidDel="00000000">
        <w:rPr>
          <w:rtl w:val="0"/>
        </w:rPr>
        <w:t xml:space="preserve">2015/1017</w:t>
      </w:r>
      <w:r w:rsidR="00000000" w:rsidRPr="00000000" w:rsidDel="00000000">
        <w:rPr>
          <w:rtl w:val="0"/>
        </w:rPr>
        <w:t xml:space="preserve">), 2. panta 6. punktu, kā arī vidējas kapitalizācijas sabiedrības saskaņā ar regulas </w:t>
      </w:r>
      <w:r w:rsidR="00000000" w:rsidRPr="00000000" w:rsidDel="00000000">
        <w:rPr>
          <w:rtl w:val="0"/>
        </w:rPr>
        <w:t xml:space="preserve">2015/1017</w:t>
      </w:r>
      <w:r w:rsidR="00000000" w:rsidRPr="00000000" w:rsidDel="00000000">
        <w:rPr>
          <w:rtl w:val="0"/>
        </w:rPr>
        <w:t xml:space="preserve"> 2. panta 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finansējuma pieejamību procesu digitalizācijai komercdarbībā, kā arī veicināt produktivitātes paaugstināšanu ar mērķtiecīgu resursu ieguldīšanu augstākas pievienotās vērtības radīšanai komersantu komercdarbības procesos.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gala labuma guvēji atbilstoši šo noteikumu </w:t>
      </w:r>
      <w:r w:rsidR="00000000" w:rsidRPr="00000000" w:rsidDel="00000000">
        <w:rPr>
          <w:rtl w:val="0"/>
        </w:rPr>
        <w:t xml:space="preserve">2.1.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Pasākums tiek īstenots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27 613 228 </w:t>
      </w:r>
      <w:r w:rsidR="00000000" w:rsidRPr="00000000" w:rsidDel="00000000">
        <w:rPr>
          <w:i w:val="1"/>
          <w:rtl w:val="0"/>
        </w:rPr>
        <w:t xml:space="preserve">euro</w:t>
      </w:r>
      <w:r w:rsidR="00000000" w:rsidRPr="00000000" w:rsidDel="00000000">
        <w:rPr>
          <w:rtl w:val="0"/>
        </w:rPr>
        <w:t xml:space="preserve"> (tostarp elastības finansējums 4 355 304 </w:t>
      </w:r>
      <w:r w:rsidR="00000000" w:rsidRPr="00000000" w:rsidDel="00000000">
        <w:rPr>
          <w:i w:val="1"/>
          <w:rtl w:val="0"/>
        </w:rPr>
        <w:t xml:space="preserve">euro</w:t>
      </w:r>
      <w:r w:rsidR="00000000" w:rsidRPr="00000000" w:rsidDel="00000000">
        <w:rPr>
          <w:rtl w:val="0"/>
        </w:rPr>
        <w:t xml:space="preserve">), tai skaitā Eiropas Reģionālās attīstības fonda finansējums 23 471 243 </w:t>
      </w:r>
      <w:r w:rsidR="00000000" w:rsidRPr="00000000" w:rsidDel="00000000">
        <w:rPr>
          <w:i w:val="1"/>
          <w:rtl w:val="0"/>
        </w:rPr>
        <w:t xml:space="preserve">euro</w:t>
      </w:r>
      <w:r w:rsidR="00000000" w:rsidRPr="00000000" w:rsidDel="00000000">
        <w:rPr>
          <w:rtl w:val="0"/>
        </w:rPr>
        <w:t xml:space="preserve"> (tostarp elastības finansējums 3 702 009 </w:t>
      </w:r>
      <w:r w:rsidR="00000000" w:rsidRPr="00000000" w:rsidDel="00000000">
        <w:rPr>
          <w:i w:val="1"/>
          <w:rtl w:val="0"/>
        </w:rPr>
        <w:t xml:space="preserve">euro</w:t>
      </w:r>
      <w:r w:rsidR="00000000" w:rsidRPr="00000000" w:rsidDel="00000000">
        <w:rPr>
          <w:rtl w:val="0"/>
        </w:rPr>
        <w:t xml:space="preserve">) un valsts budžeta līdzfinansējums 4 141 985 </w:t>
      </w:r>
      <w:r w:rsidR="00000000" w:rsidRPr="00000000" w:rsidDel="00000000">
        <w:rPr>
          <w:i w:val="1"/>
          <w:rtl w:val="0"/>
        </w:rPr>
        <w:t xml:space="preserve">euro</w:t>
      </w:r>
      <w:r w:rsidR="00000000" w:rsidRPr="00000000" w:rsidDel="00000000">
        <w:rPr>
          <w:rtl w:val="0"/>
        </w:rPr>
        <w:t xml:space="preserve"> (tostarp elastības finansējums 653 295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Maksimālais attiecināmais Eiropas Reģionālās attīstības fonda finansējuma apmērs nepārsniedz 85 % no projekta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kopējo pasākuma īstenošanai pieejamo finansējumu plāno ne vairāk kā 23 257 924 </w:t>
      </w:r>
      <w:r w:rsidR="00000000" w:rsidRPr="00000000" w:rsidDel="00000000">
        <w:rPr>
          <w:i w:val="1"/>
          <w:rtl w:val="0"/>
        </w:rPr>
        <w:t xml:space="preserve">euro </w:t>
      </w:r>
      <w:r w:rsidR="00000000" w:rsidRPr="00000000" w:rsidDel="00000000">
        <w:rPr>
          <w:rtl w:val="0"/>
        </w:rPr>
        <w:t xml:space="preserve">apmērā, tai skaitā Eiropas Reģionālās attīstības fonda finansējumu 19 769 234 </w:t>
      </w:r>
      <w:r w:rsidR="00000000" w:rsidRPr="00000000" w:rsidDel="00000000">
        <w:rPr>
          <w:i w:val="1"/>
          <w:rtl w:val="0"/>
        </w:rPr>
        <w:t xml:space="preserve">euro</w:t>
      </w:r>
      <w:r w:rsidR="00000000" w:rsidRPr="00000000" w:rsidDel="00000000">
        <w:rPr>
          <w:rtl w:val="0"/>
        </w:rPr>
        <w:t xml:space="preserve"> apmērā un valsts budžeta līdzfinansējumu 3 488 690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no 2026. gada 1. janvāra palielināt pasākumam pieejamo kopējo attiecināmo finansējumu līdz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minētajam plānotajam kopējā attiecināmā finansējuma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ietvaros līdz 2029. gada 31. decembrim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 komersanti – 1750;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komersanti – 300;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publisko atbalstu papildinošās privātās investīcijas (tai skaitā granti, finanšu instrumenti) – 3 367 541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 Projektu iesniegumu iesniegšanu izsludina vienu reizi par visu pasākumam pieejamo finansējumu.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 pēc projekta iesnieguma apstiprināšanas ir finansējuma saņēmējs.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nolikumam un iesniedz to sadarbības iestādē, izmantojot Kohēzijas politikas fondu vadības informācijas sistēmu (turpmāk – vadības informācijas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minētās atbalstāmās darbības īsteno saskaņā ar projekta īstenošanas stratēģiju, kurā norādīta detalizēta informācija par projekta īstenošanas plānu, mērķiem, uzņēmējdarbības digitalizācijas problēmām Latvijā un to risinājumiem, finansējuma saņēmēja darba uzdevumi un funkcijas, kā arī sasniedzamie rādītāji, lai nodrošinātu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 mērķa sasniegšanu. Projekta īstenošanas stratēģijā iekļauj arī gala labuma guvēju atlases procedūru. Projekta iesniedzējs minēto stratēģiju saskaņo ar atbildīgo iestādi un pēc saskaņojuma saņemšanas stratēģiju pievieno projekta iesniegumam.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kopā ar projekta iesniegumu iesniedz arī tā izstrādātu procedūru, kas nosaka kārtību, kādā tiks nodrošināta komercdarbības atbalsta sniegšana gala labuma guvējiem.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projekta iesniegumam pievieno apliecinājumu, ka tam ir izveidota iekšējās kontroles sistēma korupcijas un interešu konflikta riska novēršanai atbilstoši šo noteikumu </w:t>
      </w:r>
      <w:r w:rsidR="00000000" w:rsidRPr="00000000" w:rsidDel="00000000">
        <w:rPr>
          <w:rtl w:val="0"/>
        </w:rPr>
        <w:t xml:space="preserve">41.11.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izstrādā izmaksu un ieguvumu analīzi un iesniedz to kā projekta iesnieguma pielikumu.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Latvijas Investīciju un attīstības aģentūra sniedz atbalstu gala labuma guvējam granta un nefinanšu atbalsta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ietvaros finansējuma saņēmējam, kas nodrošina projekta īstenošanu,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nodrošināšana, tai skaitā iepirkumu organizēšana un komercdarbības atbalsta 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komunikācijas un vizuālās identitātes pasākumu nodrošināšana, ievērojot nediskriminācijas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uzņēmumu datubāzu iegāde, datu monitorings un analīze;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IT sistēmu, programmu un rīku izstrādes pakalpojumi, datu un informācijas uzkrāšana.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minēto darbību īstenošanai attiecināmas šādas tiešās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ārpakalpojumu (piemēram, juridiskie pakalpojumi, mārketinga materiālu izgatavošana, mārketinga aktivitātes, ekspertu piesaiste digitālā brieduma novērtēšanai un citi ārpakalpojumi)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minētajām personāla izmaksām tiek piemērota vienotā likme 20 procentu apmērā no pārējām tiešajām attiecināmajām izmaksām, neieskaitot personāla izmaksas, atbilstoši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ir attiecināmas netiešās projekta īstenošanas izmaksas 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minēto darbību veikšanai. Netiešās attiecināmās izmaksas finansējuma saņēmējs plāno kā vienu izmaksu pozīciju, piemērojot netiešo izmaksu vienoto likmi 15 procentu apmērā no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norādītajām tiešajām attiecināmajām personāla izmaksām saskaņā ar regulas Nr. </w:t>
      </w:r>
      <w:r w:rsidR="00000000" w:rsidRPr="00000000" w:rsidDel="00000000">
        <w:rPr>
          <w:rtl w:val="0"/>
        </w:rPr>
        <w:t xml:space="preserve">2021/1060</w:t>
      </w:r>
      <w:r w:rsidR="00000000" w:rsidRPr="00000000" w:rsidDel="00000000">
        <w:rPr>
          <w:rtl w:val="0"/>
        </w:rPr>
        <w:t xml:space="preserve"> 54. panta "b"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pielāgošanas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izplatīšanu un izvietošanu dažādos informācijas līdzekļos – sociālajos tīklos, televīzijā, radio, drukātajos un digitālajos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un informatīvie materiāli (piemēram, brošūras, diplomi, stendi, bukleti, zibatmiņas));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horizontālā principa "Vienlīdzība, iekļaušana, nediskriminācija un pamattiesību ievērošana" darbību īstenošanai, tai skaitā pandusu nomas, indukcijas cilpu nomas, zīmju valodas tulku un vieglās valodas tulkošanas pakalpojumu izmaksas, subtitrēšanas un reāllaika transkripcijas pakalpojumu izmaksas, ja tas ir nepieciešams vides un informācijas pieejamības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 </w:t>
      </w:r>
      <w:r w:rsidR="00000000" w:rsidRPr="00000000" w:rsidDel="00000000">
        <w:rPr>
          <w:rtl w:val="0"/>
        </w:rPr>
        <w:t xml:space="preserve">apakšpunktā</w:t>
      </w:r>
      <w:r w:rsidR="00000000" w:rsidRPr="00000000" w:rsidDel="00000000">
        <w:rPr>
          <w:rtl w:val="0"/>
        </w:rPr>
        <w:t xml:space="preserve"> minētās darbības nodrošināšanai attiecināmas IT sistēmu, programmu un rīku izstrādes un uzturēšanas izmaksas pasākuma īstenošanas laikā atbilstoši šo noteikumu </w:t>
      </w:r>
      <w:r w:rsidR="00000000" w:rsidRPr="00000000" w:rsidDel="00000000">
        <w:rPr>
          <w:rtl w:val="0"/>
        </w:rPr>
        <w:t xml:space="preserve">38.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ietvaros finansējuma saņēmējam ir attiecināms pievienotās vērtības nodoklis, ja tas nav atgūstams saskaņā ar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Pasākuma ietvaros gala labuma guvējam ir atbalstāmas darbības, kas paredz ieguldījumus šādu komercdarbības procesu uzlabošanā: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administratīvie procesi – finanses un grāmatvedība, administrācija, dokumentu vadība, projektu vadība, kopdarbība, sistēmu savietojamība;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personāla vadības procesi – cilvēku resursu vadība, darba laika uzskaite, darba deleģēšana, personāla iesaiste, novērtēšana un motivācija;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pārdošanas procesi – klientu piesaiste un darījumu vadības automatizācija, pārdošana un darījumu atsekošana, e-komercija, digitālais mārketings, digitālie risinājumi mazumtirdzniecībai, klientu attiecību pārvaldība (</w:t>
      </w:r>
      <w:r w:rsidR="00000000" w:rsidRPr="00000000" w:rsidDel="00000000">
        <w:rPr>
          <w:i w:val="1"/>
          <w:rtl w:val="0"/>
        </w:rPr>
        <w:t xml:space="preserve">Customer relationship management</w:t>
      </w:r>
      <w:r w:rsidR="00000000" w:rsidRPr="00000000" w:rsidDel="00000000">
        <w:rPr>
          <w:rtl w:val="0"/>
        </w:rPr>
        <w:t xml:space="preserve"> – CRM);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resursu pārvaldības procesi – resursu vadība (</w:t>
      </w:r>
      <w:r w:rsidR="00000000" w:rsidRPr="00000000" w:rsidDel="00000000">
        <w:rPr>
          <w:i w:val="1"/>
          <w:rtl w:val="0"/>
        </w:rPr>
        <w:t xml:space="preserve">Enterprise resource planning</w:t>
      </w:r>
      <w:r w:rsidR="00000000" w:rsidRPr="00000000" w:rsidDel="00000000">
        <w:rPr>
          <w:rtl w:val="0"/>
        </w:rPr>
        <w:t xml:space="preserve"> – ERP, noliktavu pārvaldības sistēmas), energoresursu pārvaldība, efektīvāka resursu izmantošana;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pārvaldības procesi – datu drošība, datu glabāšana, komunikācijas infrastruktūra;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transports un loģistikas procesi – lietu internets, viedie mobilitātes risinājumi, uztveres sistēmas, satiksmes monitorings;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ražošanas un kvalitātes kontroles procesi –  ražošanas un biznesa procesu vadība un automatizācija, kvalitātes kontroles sistēma, datu sinhronizācija, datu analītika;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operatīvās vadības procesi – biznesa vadība, biznesa analītika, lielo datu analītika, risinājumi vadības lēmumu pieņemšanai, datu automatizācija, sinhronizācija;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stratēģiskā vadība – digitalizācijas (procesu un produktu) un inovāciju attīstības stratēģija;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ar informācijas un komunikācijas tehnoloģiju produktiem, tehnoloģijām, drošību vai procesiem saistītu uzlabojumu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jaunu digitālu risinājumu izstrāde.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minēto darbību īstenošanai gala labuma guvējam ir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gatavo risinājumu, aparatūras, sensoru, iekārtu, programmatūras un informācijas tehnoloģiju infrastruktūras un licences iegādes izmaksas, uzstādīšanas, pielāgošanas, kā arī ar tām saistīto konsultāciju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digitālā brieduma novērtējuma  izmaksas – sākotnējā un otrreizējā digitālā brieduma testa veikšanas, digitālās ceļa kartes un atzinuma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gala labuma guvēja projekta īstenošanas brīdi uzskatāms brīdis, kad gala labuma guvēja iegādātais risinājums ir ieviests komercdarbībā vai uzstādīts projekta īstenošanas vietā. Ja projektā programmatūras izmantošanai paredzēts iegādāties arī iekārtas, aparatūras, sensoru un informācijas tehnoloģiju infrastruktūru, tad to uzstādīšana bez īpašumtiesību nodošanas ārpus projekta īstenošanas vietas ir atbalstāma.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 </w:t>
      </w:r>
      <w:r w:rsidR="00000000" w:rsidRPr="00000000" w:rsidDel="00000000">
        <w:rPr>
          <w:rtl w:val="0"/>
        </w:rPr>
        <w:t xml:space="preserve">apakšpunktā</w:t>
      </w:r>
      <w:r w:rsidR="00000000" w:rsidRPr="00000000" w:rsidDel="00000000">
        <w:rPr>
          <w:rtl w:val="0"/>
        </w:rPr>
        <w:t xml:space="preserve"> minētās konsultāciju izmaksas nav pastāvīga vai periodiska darbība, tās nav saistītas ar gala labuma guvēja parastajām darbības izmaksām, piemēram, kārtējiem nodokļu konsultāciju pakalpojumiem, regulāriem juridiskajiem pakalpojumiem vai reklāmas pakalpojumiem. Granta daļa, ko gala labuma guvējs var izmantot šo noteikumu </w:t>
      </w:r>
      <w:r w:rsidR="00000000" w:rsidRPr="00000000" w:rsidDel="00000000">
        <w:rPr>
          <w:rtl w:val="0"/>
        </w:rPr>
        <w:t xml:space="preserve">29.1. </w:t>
      </w:r>
      <w:r w:rsidR="00000000" w:rsidRPr="00000000" w:rsidDel="00000000">
        <w:rPr>
          <w:rtl w:val="0"/>
        </w:rPr>
        <w:t xml:space="preserve">apakšpunktā</w:t>
      </w:r>
      <w:r w:rsidR="00000000" w:rsidRPr="00000000" w:rsidDel="00000000">
        <w:rPr>
          <w:rtl w:val="0"/>
        </w:rPr>
        <w:t xml:space="preserve"> minēto konsultāciju izmaksu segšanai, proporcionāli nevar pārsniegt granta daļu, kas paredzēta pārējo šo noteikumu </w:t>
      </w:r>
      <w:r w:rsidR="00000000" w:rsidRPr="00000000" w:rsidDel="00000000">
        <w:rPr>
          <w:rtl w:val="0"/>
        </w:rPr>
        <w:t xml:space="preserve">29.1. </w:t>
      </w:r>
      <w:r w:rsidR="00000000" w:rsidRPr="00000000" w:rsidDel="00000000">
        <w:rPr>
          <w:rtl w:val="0"/>
        </w:rPr>
        <w:t xml:space="preserve">apakšpunktā</w:t>
      </w:r>
      <w:r w:rsidR="00000000" w:rsidRPr="00000000" w:rsidDel="00000000">
        <w:rPr>
          <w:rtl w:val="0"/>
        </w:rPr>
        <w:t xml:space="preserve"> minēto attiecināmo izmaksu segšanai.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minēto atbalstāmo darbību ietvaros radušās izmaksas, kas noteiktas šo noteikumu </w:t>
      </w:r>
      <w:r w:rsidR="00000000" w:rsidRPr="00000000" w:rsidDel="00000000">
        <w:rPr>
          <w:rtl w:val="0"/>
        </w:rPr>
        <w:t xml:space="preserve">29.1. </w:t>
      </w:r>
      <w:r w:rsidR="00000000" w:rsidRPr="00000000" w:rsidDel="00000000">
        <w:rPr>
          <w:rtl w:val="0"/>
        </w:rPr>
        <w:t xml:space="preserve">apakšpunktā</w:t>
      </w:r>
      <w:r w:rsidR="00000000" w:rsidRPr="00000000" w:rsidDel="00000000">
        <w:rPr>
          <w:rtl w:val="0"/>
        </w:rPr>
        <w:t xml:space="preserve">, ir attiecināmas atbilstoši atbildīgās iestādes izstrādātajām vienkāršoto izmaksu metodikām, kas saskaņotas ar vadošo iestādi.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Gala labuma guvējiem nav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standarta biroja tehnikas un datortehnikas iegāde, kas ir nepieciešama pamata iekšējo funkciju nodrošināšanai un procesu kopumam, kuru gala labuma guvējs veic neatkarīgi no darbības jomas;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programmatūras un informācijas sistēmu atbalsts, izņemot drošības testus;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esošo programmu papildināšana ar jaunu funkcionalitāti lietotājiem;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funkcijās un procesos veiktie ieguldījumi;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nekustamā īpašuma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esošās programmatūras pielāgošana, izņemot drošības pilnveidojumu īstenošanu un jaunu programmatūru sinhronizēšanu atbalsta programmas mērķu īstenošanai komercdarbībā;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kas jau ir pabeigtas brīdī, kad tiek noslēgts Latvijas Investīciju un attīstības aģentūras līgums ar gala labuma guvēju.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projekta īstenošanas laikā rodas izmaksas, kas neatbilst šiem noteikumiem vai pārsniedz pieejamo attiecināmo finansējumu, gala labuma guvējs apņemas tās segt no paša rīcībā esošajiem līdzekļiem, kas nav saistīti ar publisku atbalstu.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Projekta īstenošanas un finansējuma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Informācija par gala labuma guvēju saskaņā ar šo noteikumu </w:t>
      </w:r>
      <w:r w:rsidR="00000000" w:rsidRPr="00000000" w:rsidDel="00000000">
        <w:rPr>
          <w:rtl w:val="0"/>
        </w:rPr>
        <w:t xml:space="preserve">42. </w:t>
      </w:r>
      <w:r w:rsidR="00000000" w:rsidRPr="00000000" w:rsidDel="00000000">
        <w:rPr>
          <w:rtl w:val="0"/>
        </w:rPr>
        <w:t xml:space="preserve">punktu</w:t>
      </w:r>
      <w:r w:rsidR="00000000" w:rsidRPr="00000000" w:rsidDel="00000000">
        <w:rPr>
          <w:rtl w:val="0"/>
        </w:rPr>
        <w:t xml:space="preserve"> tiek izmantota analītikas vajadzībām.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Finansējuma saņēmējs projekta īstenošanu plāno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projekta iesnieguma iesniegšanas dienas. Šajos noteikumos minētās izmaksas gala labuma guvējam ir attiecināmas no dienas, kad finansējuma saņēmējs pieņēmis lēmumu par atbalsta piešķiršanu gala labuma guvējam.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Publiskos iepirkumus finansējuma saņēmējs veic saskaņā ar normatīvajiem aktiem publisko iepirkumu jomā, īstenojot atklātu, pārredzamu, nediskriminējošu un konkurenci nodrošinošu procedūru. Projekta ietvaros ir atbalstāma vides prasību un inovatīva risinājuma integrēšana preču un pakalpojuma iepirkumos.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procentiem no attiecīgā līguma summas atbilstoši finansējuma saņēmēja izstrādātajiem avansa apmēra noteikšanas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Finansējuma saņēmēja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atbalsta programmas īstenošanu, atbalsta piešķiršanu un uzraudzību, tai skaitā par gala labuma guvējiem piešķirtā finansējuma izlietojumu, saskaņā ar šo noteikumu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gala labuma guvēju iesniegto pieteikumu vērtēšanas kritērijus un kārtību, kādā gala labuma guvējam tiek izsniegts grants un nodrošināta granta izmantošanas uzraudzība, un mēneša laikā pēc atbalsta programmas stāšanās spēkā saskaņot to ar atbildīgo iestādi;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gala labuma guvēju iesniegto pieteikumu izvērtēšanu un komercdarbības atbalsta piešķiršanu atbilstoši vērtēšanas kritērijiem, komercdarbības atbalsta piešķiršanas prasībām un šo noteikumu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atbalsta pieteikumu iesniegšanu publicēt valsts platformā biznesa attīstībai www.business.gov.lv;</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komunikācijas un vizuālās identitātes pasākumus saskaņā ar regulas Nr. </w:t>
      </w:r>
      <w:r w:rsidR="00000000" w:rsidRPr="00000000" w:rsidDel="00000000">
        <w:rPr>
          <w:rtl w:val="0"/>
        </w:rPr>
        <w:t xml:space="preserve">2021/1060</w:t>
      </w:r>
      <w:r w:rsidR="00000000" w:rsidRPr="00000000" w:rsidDel="00000000">
        <w:rPr>
          <w:rtl w:val="0"/>
        </w:rPr>
        <w:t xml:space="preserve"> 47. un 50. pantu un normatīvo aktu par kārtību, kādā Eiropas Savienības fondu vadībā iesaistītās institūcijas nodrošina šo fondu ieviešanu 2021.–2027.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piemērot vadošās iestādes un atbildīgās iestādes sagatavotās Eiropas Savienības fondu 2021.–2027. gada plānošanas perioda vienkāršoto izmaksu metodikas, kas programmas ietvaros ir attiecināmas ar to spēkā stāšanās brīdi;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principa "Nenodarīt būtisku kaitējumu" ievērošanu finansējuma sniegšanā, lai gala labuma guvēja pieteikumā iekļautajam atbalstāmajam atbalsta mērķim nav ietekmes uz visiem vides mērķiem, vērtējot gan tiešās, gan primārās netiešās sekas visā aprites ciklā, vai paredzamā ietekme nav būtiska;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segt sadārdzinājumu, ja projekta īstenošanas gaitā ir radies sadārdzinājums un citas papildu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interešu konflikta neesību saskaņā ar Eiropas Parlamenta un Padomes 2018. gada 18. jūlija Regulas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regula Nr. </w:t>
      </w:r>
      <w:r w:rsidR="00000000" w:rsidRPr="00000000" w:rsidDel="00000000">
        <w:rPr>
          <w:rtl w:val="0"/>
        </w:rPr>
        <w:t xml:space="preserve">2018/1046</w:t>
      </w:r>
      <w:r w:rsidR="00000000" w:rsidRPr="00000000" w:rsidDel="00000000">
        <w:rPr>
          <w:rtl w:val="0"/>
        </w:rPr>
        <w:t xml:space="preserve">), 61. panta prasībām un normatīvajiem aktiem publisko iepirkumu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finansējuma saņēmēja darbiniekiem, kas iesaistīti gala labuma guvēju pieteikumu vērtēšanas procesā, parakstīt objektivitātes, konfidencialitātes un interešu konflikta neesības apliecinājumu (</w:t>
      </w:r>
      <w:r w:rsidR="00000000" w:rsidRPr="00000000" w:rsidDel="00000000">
        <w:rPr>
          <w:rtl w:val="0"/>
        </w:rPr>
        <w:t xml:space="preserve">pielikums</w:t>
      </w:r>
      <w:r w:rsidR="00000000" w:rsidRPr="00000000" w:rsidDel="00000000">
        <w:rPr>
          <w:rtl w:val="0"/>
        </w:rPr>
        <w:t xml:space="preserve">)</w:t>
      </w:r>
      <w:r w:rsidR="00000000" w:rsidRPr="00000000" w:rsidDel="00000000">
        <w:rPr>
          <w:rtl w:val="0"/>
        </w:rPr>
        <w:t xml:space="preserve">, ka nepiedalīsies gala labuma guvēju pieteikumu izvērtēšanā interešu konflikta situācijā. Apliecinājumu paraksta pirms gala labuma guvēju pieteikumu izskatīšanas un vērtēšanas. Apliecinājumu finansējuma saņēmējs glabā atbilstoši šo noteikumu </w:t>
      </w:r>
      <w:r w:rsidR="00000000" w:rsidRPr="00000000" w:rsidDel="00000000">
        <w:rPr>
          <w:rtl w:val="0"/>
        </w:rPr>
        <w:t xml:space="preserve">61.1.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līdz projekta iesnieguma iesniegšanai izstrādāt iekšējās kontroles sistēmu korupcijas un interešu konflikta riska novēršanai publiskas personas institūcijā atbilstoši normatīvo aktu prasībām korupcijas un interešu konflikta riska novēršanas iekšējās kontroles sistēmu jomā, kas ietver arī: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atbalsta piešķiršanas procedūrā un publiskajos iepirkumos (preventīvus pasākumus un konstatēšanas pasākumus interešu konflikta riska kontrolei, tai skaitā paziņošanas procedūru, labošanas pasākumus) un informāciju par interešu konflikta novēršanu saskaņā ar regulas Nr.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 darbiniekiem jārīkojas, ja tie vēlas ziņot par iespējamiem pārkāpumiem (tai skaitā iespējamām koruptīvām darbībām), ietverot pasākumus, lai nodrošinātu ziņotāja anonimitāti un aizsardzību;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riska kontroles pasākumus, lai nepieļautu aizliegtu vienošanos;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mehānismu dubultā finansējuma novēršanai projekta ietvaros ar citiem finansēšanas avotiem, tai skaitā ar Eiropas Savienības kohēzijas politikas programmu 2021.–2027. gadam, Eiropas Savienības struktūrfondu un Kohēzijas fonda 2014.–2020. gada plānošanas perioda darbības programmu "Izaugsme un nodarbinātība" un citiem ārvalstu finanšu instrumentiem;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trauksmes celšanas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procedūru disciplināratbildības piemērošanai;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ziņošanas mehānismu par potenciāliem administratīviem vai kriminālpārkāpumiem kompetentajām iestādēm;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vismaz reizi gadā vadības informācijas sistēmā kopā ar maksājuma pieprasījumu par katru gala labuma guvēju vai 10 darbdienu laikā pēc atbildīgās iestādes pieprasījuma iesniegt atbildīgajai iestādei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gala labuma guvēju reģistrācijas numurs;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gala labuma guvēju samaksāto nodokļu apmērs;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atbalstīto gala labuma guvēju skaits katrā no Viedās specializācijas stratēģijas (turpmāk – RIS3) jomām sadalījumā pa gala labuma guvēju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nodrošināt atbalstu gala labuma guvēja digitālā brieduma novērtēšanai.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Pasākuma ietvaros pēc projekta īstenošanas Ekonomikas ministrija, izmantojot Centrālās statistikas pārvaldes datus, apkopo informāciju par šādiem gala labuma guvēja RIS3 rādītājiem katrā no RIS3 jomām: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eksports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veiktu šo noteikumu </w:t>
      </w:r>
      <w:r w:rsidR="00000000" w:rsidRPr="00000000" w:rsidDel="00000000">
        <w:rPr>
          <w:rtl w:val="0"/>
        </w:rPr>
        <w:t xml:space="preserve">41.13. </w:t>
      </w:r>
      <w:r w:rsidR="00000000" w:rsidRPr="00000000" w:rsidDel="00000000">
        <w:rPr>
          <w:rtl w:val="0"/>
        </w:rPr>
        <w:t xml:space="preserve">apakšpunktā</w:t>
      </w:r>
      <w:r w:rsidR="00000000" w:rsidRPr="00000000" w:rsidDel="00000000">
        <w:rPr>
          <w:rtl w:val="0"/>
        </w:rPr>
        <w:t xml:space="preserve"> minēto darbību, finansējuma saņēmējs piesaista Eiropas digitālās inovācijas centru, noslēdzot sadarbības līgumu vai nodrošinot starptautiski atzītu ekspertu piesaisti, vai veicot iepirkuma procedūru un nosakot finansējumu atbilstoši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minētajai metodikai.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Gala labuma guvējs nevar pretendēt uz finansējuma saņemšanu,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piešķiršanas brīdī uz to ir attiecināms kāds no </w:t>
      </w:r>
      <w:r w:rsidR="00000000" w:rsidRPr="00000000" w:rsidDel="00000000">
        <w:rPr>
          <w:rtl w:val="0"/>
        </w:rPr>
        <w:t xml:space="preserve">Eiropas Savienības fondu 2021.</w:t>
      </w:r>
      <w:r w:rsidR="00000000" w:rsidRPr="00000000" w:rsidDel="00000000">
        <w:rPr>
          <w:rtl w:val="0"/>
        </w:rPr>
        <w:t xml:space="preserve">–</w:t>
      </w:r>
      <w:r w:rsidR="00000000" w:rsidRPr="00000000" w:rsidDel="00000000">
        <w:rPr>
          <w:rtl w:val="0"/>
        </w:rPr>
        <w:t xml:space="preserve">2027. gada plānošanas perioda vadības likuma 22. pantā</w:t>
      </w:r>
      <w:r w:rsidR="00000000" w:rsidRPr="00000000" w:rsidDel="00000000">
        <w:rPr>
          <w:rtl w:val="0"/>
        </w:rPr>
        <w:t xml:space="preserve"> noteiktajiem projekta iesniedzēju izslēgšanas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pasākuma ietvaros tas sniedzis nepatiesu informāciju vai tīši maldinājis par Eiropas Savienības fondu un Kohēzijas fonda līdzfinansēto projektu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Atbalsts netiek sniegts šādām darbībām un nozarēm: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punkta "a", "b", "c" un "d" apakšpunktā noteiktajām neatbalstāmajām nozarēm un "e" un "f" apakšpunktā noteiktajām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 redakcija (turpmāk – NACE 2. red.),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operācijām ar nekustamo īpašumu (NACE 2. red.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apstrādei un izvietošanai, materiālu pārstrādei (NACE 2. red. grupa 38.21 "Atkritumu apstrāde un izvietošana (izņemot bīstamos atkritumus)" un grupa 38.22 "Bīstamo atkritumu apstrāde un izvietošana");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kas minētas NACE 2. redakcijas K sadaļā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gala labuma guvējs vienlaikus darbojas gan kādā no atbalstāmajām nozarēm, gan kādā no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minētajām neatbalstāmajām nozarēm un darbībām, tas, lai saņemtu atbalstu, nodrošina šo nozaru un darbību vai izmaksu nodalīšanu, kā arī to, ka, veicot darbību šo noteikumu </w:t>
      </w:r>
      <w:r w:rsidR="00000000" w:rsidRPr="00000000" w:rsidDel="00000000">
        <w:rPr>
          <w:rtl w:val="0"/>
        </w:rPr>
        <w:t xml:space="preserve">45. </w:t>
      </w:r>
      <w:r w:rsidR="00000000" w:rsidRPr="00000000" w:rsidDel="00000000">
        <w:rPr>
          <w:rtl w:val="0"/>
        </w:rPr>
        <w:t xml:space="preserve">punkt</w:t>
      </w:r>
      <w:r w:rsidR="00000000" w:rsidRPr="00000000" w:rsidDel="00000000">
        <w:rPr>
          <w:rtl w:val="0"/>
        </w:rPr>
        <w:t xml:space="preserve">ā minētajās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saņēmējam ir tiesības bez maksas pieprasīt un saņemt tiešu pieeju datiem valsts informācijas sistēmās, datubāzēs un reģistros tādā apjomā, kāds nepieciešams atbalsta programmas īstenošanai un atbalsta sniegšanai gala labuma guvējiem atbilstoši šiem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Maksimālā atbalsta summa gala labuma guvējam vienam grantam, ievērojot 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minēto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 </w:t>
      </w:r>
      <w:r w:rsidR="00000000" w:rsidRPr="00000000" w:rsidDel="00000000">
        <w:rPr>
          <w:rtl w:val="0"/>
        </w:rPr>
        <w:t xml:space="preserve">apakšpunktā</w:t>
      </w:r>
      <w:r w:rsidR="00000000" w:rsidRPr="00000000" w:rsidDel="00000000">
        <w:rPr>
          <w:rtl w:val="0"/>
        </w:rPr>
        <w:t xml:space="preserve"> noteiktajām izmaksām nepārsniedz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29.2. </w:t>
      </w:r>
      <w:r w:rsidR="00000000" w:rsidRPr="00000000" w:rsidDel="00000000">
        <w:rPr>
          <w:rtl w:val="0"/>
        </w:rPr>
        <w:t xml:space="preserve">apakšpunktā</w:t>
      </w:r>
      <w:r w:rsidR="00000000" w:rsidRPr="00000000" w:rsidDel="00000000">
        <w:rPr>
          <w:rtl w:val="0"/>
        </w:rPr>
        <w:t xml:space="preserve"> noteiktajām izmaksām nepārsniedz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Gala labuma guvējs preču un pakalpojumu iegādi veic saskaņā ar normatīvajiem aktiem publisko iepirkumu jomā, īstenojot atklātu, pārredzamu, nediskriminējošu un konkurenci neierobežojošu procedūru.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minētajiem gala labuma guvējiem piešķir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Par atbalsta piešķiršanas brīdi uzskatāms brīdis, kad finansējuma saņēmējs ir pieņēmis lēmumu par komercdarbības atbalsta piešķiršanu gala labuma guvējam.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Potenciālais gala labuma guvējs, piesakoties atbalstam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minētajā kārtībā, norāda </w:t>
      </w:r>
      <w:r w:rsidR="00000000" w:rsidRPr="00000000" w:rsidDel="00000000">
        <w:rPr>
          <w:i w:val="1"/>
          <w:rtl w:val="0"/>
        </w:rPr>
        <w:t xml:space="preserve">de minimis</w:t>
      </w:r>
      <w:r w:rsidR="00000000" w:rsidRPr="00000000" w:rsidDel="00000000">
        <w:rPr>
          <w:rtl w:val="0"/>
        </w:rPr>
        <w:t xml:space="preserve"> atbalsta uzskaites sistēmā (turpmāk – sistēma) sagatavotās veidlapas identifikācijas numuru. Atbalsta sniedzējs uzskaita atbalstu, kas piešķirts saskaņā ar Komisijas regulu Nr. </w:t>
      </w:r>
      <w:r w:rsidR="00000000" w:rsidRPr="00000000" w:rsidDel="00000000">
        <w:rPr>
          <w:rtl w:val="0"/>
        </w:rPr>
        <w:t xml:space="preserve">2023/2831</w:t>
      </w:r>
      <w:r w:rsidR="00000000" w:rsidRPr="00000000" w:rsidDel="00000000">
        <w:rPr>
          <w:rtl w:val="0"/>
        </w:rPr>
        <w:t xml:space="preserve">,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Maksimālā atbalsta intensitāte no projekta kopējām attiecināmajām izmaksām nevar pārsniegt: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mazajiem komersantiem – 50 %;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40 %;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mazām vidējas un vidējas kapitalizācijas sabiedrībām – 30 %.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noteiktā atbalsta intensitāte tiek piemērota izmaksām bez pievienotās vērtības nodokļa, izņemot gadījumus, kas noteikti šo noteikumu </w:t>
      </w:r>
      <w:r w:rsidR="00000000" w:rsidRPr="00000000" w:rsidDel="00000000">
        <w:rPr>
          <w:rtl w:val="0"/>
        </w:rPr>
        <w:t xml:space="preserve">55.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2023/2832</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 </w:t>
      </w:r>
      <w:r w:rsidR="00000000" w:rsidRPr="00000000" w:rsidDel="00000000">
        <w:rPr>
          <w:rtl w:val="0"/>
        </w:rPr>
        <w:t xml:space="preserve">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3.panta 2.punktā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 </w:t>
      </w:r>
      <w:r w:rsidR="00000000" w:rsidRPr="00000000" w:rsidDel="00000000">
        <w:rPr>
          <w:rtl w:val="0"/>
        </w:rPr>
        <w:t xml:space="preserve">atbalstu par vienām un tām pašām izmaksām var apvienot, ja pēc atbalstu apvienošanas atbalsta vienībai vai izmaksu pozīcijai attiecīgā maksimālā atbalsta intensitāte nepārsniedz 100 procentus. Ja par vienām un tām pašām projekta attiecināmajām izmaksām tiek piešķirts atbalsts vairāku komercdarbības atbalsta programmu ietvaros, atbalsta saņēmējs iesniedz informāciju par plānoto un piešķirto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līdz 2029. gada 31. decembrim, ievērojot Komisijas regulas Nr. 2023/2831 7. panta 3. punktā un 8. pantā noteikto darbības termiņu.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 </w:t>
      </w:r>
      <w:r w:rsidR="00000000" w:rsidRPr="00000000" w:rsidDel="00000000">
        <w:rPr>
          <w:rtl w:val="0"/>
        </w:rPr>
        <w:t xml:space="preserve">atbalsta piešķiršanas pārbauda, vai gala labuma guvējam uz projekta pieteikuma iesniegšanas dienu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Ja gala labuma guvējs neatbilst minētajam nosacījumam, finansējuma saņēmējs atbalstu nepiešķir.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2023/2831</w:t>
      </w:r>
      <w:r w:rsidR="00000000" w:rsidRPr="00000000" w:rsidDel="00000000">
        <w:rPr>
          <w:rtl w:val="0"/>
        </w:rPr>
        <w:t xml:space="preserve"> 6. panta 3. un 7. punktam informācijas pieejamību nodrošina šādā veidā: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10 gadus, skaitot no dienas, kad piešķirts pēdējais atbalsts saskaņā ar atbalsta shēmu atbilstoši Komisijas regulai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informācijas pieejamību 10 gadus, skaitot no finansējuma piešķiršanas brīža.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gala labuma guvējam ir pienākums atmaksāt atbalsta sniedzējam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24-TA-672</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24-TA-672</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noteikumu_projekts_24-TA-672.docx</dc:title>
</cp:coreProperties>
</file>

<file path=docProps/custom.xml><?xml version="1.0" encoding="utf-8"?>
<Properties xmlns="http://schemas.openxmlformats.org/officeDocument/2006/custom-properties" xmlns:vt="http://schemas.openxmlformats.org/officeDocument/2006/docPropsVTypes"/>
</file>