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7.</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Atbilstoši ārstniecības iestāžu iesniegtajiem rēķiniem apmaksājamie veselības aprūpes pakalpojumi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Valsts sabiedrībai ar ierobežotu atbildību "Traumatoloģijas un ortopēdijas slimnīca" dienests apmaksā: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 lielo locītavu endoprotēzes, endoprotēžu daļas un implantus pacientiem, kuri ir ārstējušies pakalpojumu programmā "Revīzijas endoprotēžu implantēšana, endoprotezēšana osteomielīta un onkoloģijas pacientiem";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 muguras smadzeņu stimulācijas komplektus un to daļas.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Valsts sabiedrībai ar ierobežotu atbildību "Paula Stradiņa klīniskā universitātes slimnīca" dienests apmaksā: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2.1. dziļās smadzeņu stimulācijas komplektus, to daļas, kas paredzētas jau implantētu elektroneirostimulatoru nomaiņai;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2.2. divbalonu katetra lietošanu orgāna perfūzijai, kas izmantots transplantācijā;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2.3. orgānu pulsējošās perfūzijas un konservācijas mašīnas vienreizējas lietošanas komplektu orgāna pieslēgšanai;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2.4. individuāli veidotas stentprotēzes endovazālas torakoabdominālas aneirismas gadījumos.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Sabiedrībai ar ierobežotu atbildību "Rīgas Austrumu klīniskā universitātes slimnīca" dienests apmaksā: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3.1. medikamentus cilvēka imūndeficīta vīrusa oportūnisko infekciju terapijai un šādas profilakses nodrošināšanai: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3.1.1. cilvēka imūndeficīta vīrusa infekcijas vertikālās profilakses nodrošināšanai cilvēka imūndeficīta vīrusa pozitīvām sievietēm;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3.1.2. pēcekspozīcijas specifiskās profilakses (PEP) nodrošināšanai ārstniecības personām;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3.1.3. cilvēka imūndeficīta vīrusa infekcijas diagnostikai nepieciešamos reaģentus;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šādus tuberkulozes un alogēno un autologo cilmes šūnu transplantācijas slimnieku ārstēšanā lietojamos medikamentus: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81"/>
        <w:gridCol w:w="5784"/>
        <w:gridCol w:w="2335"/>
        <w:tblGridChange w:id="0">
          <w:tblGrid>
            <w:gridCol w:w="1281"/>
            <w:gridCol w:w="5784"/>
            <w:gridCol w:w="2335"/>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Medikamenta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Zāļu forma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Ethambutoli hydrochloridum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Moxifloxacin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Moxifloxacin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Capreomycin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Ethambutoli hydrochloridum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Isoniasidum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Isoniasidum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Kanamycinum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Natrii paraaminosalicylas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pac.</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Protionamidum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Pyrazinamidum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Rifampicinum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Rifampicinum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caps.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Rifampicinum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Streptomycinum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Terizidonum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caps.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Ofloxacinum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Linezolidum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r>
              <w:tab/>
            </w:r>
            <w:r>
              <w:br/>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Levofloxacinum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Rifabutin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Kalii clavulanas, Amoxicillinum trihydricum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Clarithromycinum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Cilastinum, Imipinemum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Amikacinum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Delamanidi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Bedaquiline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Clofaziminum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caps.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Antibakteriālie līdzekļi: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Imipenenum/cilastatinum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Meropenenum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3.2.28.3.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Piperacillinum, Tazobactamum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Pretsēnīšu līdzekļi: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Amphotericinum B </w:t>
            </w:r>
            <w:r w:rsidR="00000000" w:rsidRPr="00000000" w:rsidDel="00000000">
              <w:rPr>
                <w:rtl w:val="0"/>
              </w:rPr>
              <w:t xml:space="preserve">(liposomālais)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Amphotericinum B</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3.2.29.3.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Amphoteracinum B</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susp. oral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3.2.29.4.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Caspofunginum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3.2.29.5.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Voriconazolum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3.2.29.6.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Voriconazolum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Pretvīrusu līdzekļi: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Valganciclovirum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caps.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Ganciclovirum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Citostatiskie līdzekļi: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Alemtuzumabum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Carmustinum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pulv. injekcijām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Koloniju stimulējošie līdzekļi: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Cilvēka eritropoetīns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Kepivance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pulv. injekcijām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Imūnsupresīvie līdzekļi: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Immunoglobulinum antilymphocytarium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Imunoglobulīni: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Pentaglobin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Pārējie medikamenti: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Pamidronic acid</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Tacrolimus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ziede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Treosulfan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 Neapmaksā pacientiem, kuri saņem stacionārās veselības aprūpes pakalpojumus sabiedrībā ar ierobežotu atbildību "Rīgas Austrumu klīniskā universitātes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 Neapmaksā pacientiem, kuri saņem stacionārās veselības aprūpes pakalpojumus sabiedrībā ar ierobežotu atbildību "Rīgas Austrumu klīniskā universitātes slimnīca" tuberkulozes ārstēšanai.</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3.3. lielo locītavu endoprotēzes, endoprotēžu daļas un implantus pacientiem, kuri ir ārstējušies pakalpojumu programmā "Revīzijas endoprotēžu implantēšana, endoprotezēšana osteomielīta un onkoloģijas pacientiem";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3.4. individuāli veidotas stentprotēzes endovazālas torakoabdominālas aneirismas gadījumos.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 Valsts sabiedrībai ar ierobežotu atbildību "Bērnu klīniskā universitātes slimnīca" dienests apmaksā: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4.1. monoklonālās antivielas </w:t>
      </w:r>
      <w:r w:rsidR="00000000" w:rsidRPr="00000000" w:rsidDel="00000000">
        <w:rPr>
          <w:i w:val="1"/>
          <w:rtl w:val="0"/>
        </w:rPr>
        <w:t xml:space="preserve">Palivizumabum</w:t>
      </w:r>
      <w:r w:rsidR="00000000" w:rsidRPr="00000000" w:rsidDel="00000000">
        <w:rPr>
          <w:rtl w:val="0"/>
        </w:rPr>
        <w:t xml:space="preserve"> 50 mg vai 100 mg lietošanu bērnam (vecumā līdz diviem gadiem), kurš ievietots stacionārā un kuram tiek veikta augsta riska bērnu profilakse pret sezonālo saslimšanu ar respiratori sincitiālo vīrusu atbilstoši valsts sabiedrības ar ierobežotu atbildību "Bērnu klīniskā universitātes slimnīca" un Latvijas Neonatologu biedrības saskaņotiem ieteikumiem;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4.2. slāpekļa monoksīda (iNO) lietošanu plaušu hipertensijas terapijā bērniem, ievērojot, ka pakalpojumu apmaksā par stundām, bet ne vairāk kā 96 stundas vienā terapijas reizē;</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4.3. jaunu elpošanas ierīču iegādi bērniem, kuriem tiek sniegta veselības aprūpe mājās, esošu iekārtu nomaiņu un šo iekārtu apkopi;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šādus medikamentus, ko lieto bērnu ar onkoloģiskām un onkohematoloģiskām saslimšanām ārstēšanai pēc ķīmijterapijas invazīvo mikožu gadījumos un bērnu ar cistisko fibrozi ambulatorai ārstēšanai: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4730"/>
        <w:gridCol w:w="1664"/>
        <w:gridCol w:w="2143"/>
        <w:tblGridChange w:id="0">
          <w:tblGrid>
            <w:gridCol w:w="802"/>
            <w:gridCol w:w="4730"/>
            <w:gridCol w:w="1664"/>
            <w:gridCol w:w="214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Medikamenta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Zāļu forma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Darbības vienība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Caspofunginum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 mg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Caspofunginum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mg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Voriconazolum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 mg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Voriconazolum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 mg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Dornasum alfac</w:t>
            </w:r>
            <w:r w:rsidR="00000000" w:rsidRPr="00000000" w:rsidDel="00000000">
              <w:rPr>
                <w:rtl w:val="0"/>
              </w:rPr>
              <w:t xml:space="preserve"> (Dezoksiribonukleāze)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inhalācijas šķīdums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mg/ml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Tobramycinum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inhalācijas šķīdums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 mg/ml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Tobramycinum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pulvera inhalācija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 mg</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4.5. ārstniecības līdzekļu un kopšanas līdzekļu iegādi bērniem ar </w:t>
      </w:r>
      <w:r w:rsidR="00000000" w:rsidRPr="00000000" w:rsidDel="00000000">
        <w:rPr>
          <w:i w:val="1"/>
          <w:rtl w:val="0"/>
        </w:rPr>
        <w:t xml:space="preserve">epidermolysis bullosa</w:t>
      </w:r>
      <w:r w:rsidR="00000000" w:rsidRPr="00000000" w:rsidDel="00000000">
        <w:rPr>
          <w:rtl w:val="0"/>
        </w:rPr>
        <w:t xml:space="preserve">, kuri atrodas valsts sabiedrības ar ierobežotu atbildību "Bērnu klīniskā universitātes slimnīca" Reto slimību kabineta uzskaitē;</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4.6. vienreiz lietojamo insulīna sūkņu piederumus esošiem pacientiem, insulīna sūkņus jauniem pacientiem, vienreiz lietojamos insulīna sūkņu piederumus jauniem pacientiem un jaunu insulīna sūkņu iegādi bojāto insulīna sūkņu nomaiņai personām līdz 24 gadu vecumam.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 Visām V un IV līmeņa stacionārajām ārstniecības iestādēm (tai skaitā sabiedrībai ar ierobežotu atbildību "Rīgas Dzemdību nams") dienests apmaksā rekombinantā aktivētā VII faktora (</w:t>
      </w:r>
      <w:r w:rsidR="00000000" w:rsidRPr="00000000" w:rsidDel="00000000">
        <w:rPr>
          <w:i w:val="1"/>
          <w:rtl w:val="0"/>
        </w:rPr>
        <w:t xml:space="preserve">Nova Seven</w:t>
      </w:r>
      <w:r w:rsidR="00000000" w:rsidRPr="00000000" w:rsidDel="00000000">
        <w:rPr>
          <w:rtl w:val="0"/>
        </w:rPr>
        <w:t xml:space="preserve">) zāļu lietošanu.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 Visām ārstniecības iestādēm, kas nodrošina onkoloģisko pacientu ārstēšanu, parenterāli ievadot medikamentus, dienests apmaksā šos medikamentus, ja tie nav iepirkti centralizēti un to izmantošana saskaņota ar dienestu, ievērojot līgumā ar dienestu minētos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 Lai nodrošinātu endovaskulāru trombektomiju no precerebrālām un cerebrālām artērijām, valsts sabiedrībai ar ierobežotu atbildību "Paula Stradiņa klīniskā universitātes slimnīca", sabiedrībai ar ierobežotu atbildību "Rīgas Austrumu klīniskā universitātes slimnīca" un sabiedrībai ar ierobežotu atbildību "Daugavpils reģionālā slimnīca" dienests apmaksā šādas medicīniskās ierīces: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vadītājkatetrus;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reperfūzijas aspirācijas katetrus cerebrālām indikācijām;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 mikrokatetrus cerebrālām indikācijām;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 mikrovadītājstīgas cerebrālām indikācijām;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 aspirācijas pumpja kanistras;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7.6. aspirācijas sūkņa savienotājcaurules;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7.7. balonoklūzijas katetrus;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7.8. intrakraniālos trombektomijas stentus;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 intrakraniālos atvienojamos stentus stenozes ārstēšanai.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24-TA-1255</w:t>
    </w:r>
    <w:r>
      <w:br/>
    </w:r>
    <w:r w:rsidR="00000000" w:rsidRPr="00000000" w:rsidDel="00000000">
      <w:rPr>
        <w:rtl w:val="0"/>
      </w:rPr>
      <w:t xml:space="preserve">Izdrukāts 29.07.2026. 22.12 - 1.0.VK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24-TA-1255</w:t>
    </w:r>
    <w:r>
      <w:br/>
    </w:r>
    <w:r w:rsidR="00000000" w:rsidRPr="00000000" w:rsidDel="00000000">
      <w:rPr>
        <w:rtl w:val="0"/>
      </w:rPr>
      <w:t xml:space="preserve">Izdrukāts 29.07.2026. 22.12 - 1.0.VK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noteikumu_konsolidētā_versija_p7_24-TA-1255.docx</dc:title>
</cp:coreProperties>
</file>

<file path=docProps/custom.xml><?xml version="1.0" encoding="utf-8"?>
<Properties xmlns="http://schemas.openxmlformats.org/officeDocument/2006/custom-properties" xmlns:vt="http://schemas.openxmlformats.org/officeDocument/2006/docPropsVTypes"/>
</file>