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[25-TA-2530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[25-TA-2530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Maksa par veterināro sertifikātu sagatavošanu un izsniegšanu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"/>
        <w:gridCol w:w="4255"/>
        <w:gridCol w:w="2278"/>
        <w:gridCol w:w="2189"/>
        <w:tblGridChange w:id="0">
          <w:tblGrid>
            <w:gridCol w:w="317"/>
            <w:gridCol w:w="4255"/>
            <w:gridCol w:w="2278"/>
            <w:gridCol w:w="21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liellopiem, aitām un kazām: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dzīvnieku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dzīvnieku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dzīvnieku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519,91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cūkām: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 dzīvnieku sertifikātā: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501 un vairāk dzīvnieku sertifikātā: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158,31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194,97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putniem: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mājputnu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skaits (pamata darbalaikā)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un vairāk mājputnu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sertifikātā: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putnu, kas nav mājputni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, sertifikātā (pamata darbalaikā)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zirgiem: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  šī pielikuma 1.–5.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punktā neminētiem dzīvniekiem: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 pamatdarba 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Veterinārā (veselības) sertifikāta sagatavošana un izsniegšana par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dzīvnieku izcelsmes produktiem, reproduktīvajiem produktiem un dzīvnieku izcelsmes blakusproduktiem un cilvēku patēriņam neparedzētiem atvasinātiem produktiem: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Veterinārā (veselības) sertifikāta sagatavošana un izsniegšana par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dzīvnieku</w:t>
            </w:r>
            <w:r w:rsidR="00000000" w:rsidRPr="00000000" w:rsidDel="00000000">
              <w:rPr>
                <w:b w:val="1"/>
                <w:rtl w:val="0"/>
              </w:rPr>
              <w:t xml:space="preserve"> un augu izcelsmes dzīvnieku barību: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 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 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pārbaude pirms karantīnas un tās laikā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 Pievienotās vērtības nodokļa likuma 3. panta 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Ja maksa noteikta par sertifikātu un tā sagatavošanas laiks ir dalīts (piemēram, pamata darbalaikā un ārpus darbalaika darbdienā), maksu aprēķina pēc lielākās cenas.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Atbilstoši Eiropas Parlamenta un Padomes 2016. gada 9. marta Regulas (ES) 2016/429 par pārnēsājamām dzīvnieku slimībām un ar ko groza un atceļ konkrētus aktus dzīvnieku veselības jomā (“Dzīvnieku veselības tiesību akts”) (turpmāk – regula 2016/429) 4. panta 9. punktā noteiktajai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Atbilstoši regulas 2016/429 4. panta 10. punktā noteiktajai definīcijai."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