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[25-TA-2530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[25-TA-2530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valsts uzraudzības un kontroles darbībām kautuvēs, kaušanai paredzēto dzīvnieku novietnēs un medījamo dzīvnieku gaļas pārstrādes uzņēmumos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9"/>
        <w:gridCol w:w="3964"/>
        <w:gridCol w:w="2393"/>
        <w:gridCol w:w="2313"/>
        <w:tblGridChange w:id="0">
          <w:tblGrid>
            <w:gridCol w:w="369"/>
            <w:gridCol w:w="3964"/>
            <w:gridCol w:w="2393"/>
            <w:gridCol w:w="23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1, 2, 3, 4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nokauto dzīvnieku kontroli (par dzīvnieku), izņemot šā pielikuma 2. punktā minētajā gadījumā: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 liellopi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dzīvnieku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25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vienāds vai lielāks par 25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gaļa un kazas gaļa – dzīvnieki ar kautsvaru, kas ir: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kg vai lielāks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Gallus ģints</w:t>
            </w:r>
            <w:r w:rsidR="00000000" w:rsidRPr="00000000" w:rsidDel="00000000">
              <w:rPr>
                <w:rtl w:val="0"/>
              </w:rPr>
              <w:t xml:space="preserve"> mājputni un pērļu vistiņas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pīles un zosis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paipalas un irbes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audzētu trušu gaļa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kontroles laiku, ja šā pielikuma 1. punktā vai regulas Nr. 2017/625 IV pielikuma II nodaļas III daļā noteiktā maksa par dzīvnieku nesedz faktiskās izmaksas (atbilstoši faktiskajam kontroles laikam par darba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dīkstāvi, ja dīkstāves laiks pārsniedz vienu stundu (atbilstoši faktiskajam laikam par stundu)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Pievienotās vērtības nodokļa likuma 3. panta 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Maksa ietver trihinelozes diagnostiku kautuves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Kontroles izmaksas daļēji tiek segtas normatīvajos aktos par ikgadējo valsts atbalstu lauksaimniecībai un tā piešķiršanas kārtību noteiktajā atbalsta pasākumā "Atbalsts veterinārās ekspertīzes izmaksu daļējai segšanai".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Aprēķinot izmaksas, papildus noteiktajai maksai aprēķina maksu par darbu ārpus paziņotā darbalaika, svētku dienās un nakts stundās atbilstoši darba tiesiskās attiecības regulējošajos normatīvajos aktos noteiktajam."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