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23. martā (prot. Nr. 17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5 194 939 </w:t>
      </w:r>
      <w:r w:rsidR="00000000" w:rsidRPr="00000000" w:rsidDel="00000000">
        <w:rPr>
          <w:i w:val="1"/>
          <w:rtl w:val="0"/>
        </w:rPr>
        <w:t xml:space="preserve">euro </w:t>
      </w:r>
      <w:r w:rsidR="00000000" w:rsidRPr="00000000" w:rsidDel="00000000">
        <w:rPr>
          <w:rtl w:val="0"/>
        </w:rPr>
        <w:t xml:space="preserve">apmērā, lai segtu izdevumus,  kas radušies 2021. gada oktobrī, novembrī un decembrī saistībā ar medicīnisko iekārtu un papildaprīkojuma iegādi, kā arī intensīvajai terapijai paredzēto gultu uzturēšanu,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sabiedrībai ar ierobežotu atbildību "Daugavpils reģionālā slimnīca" – 33 638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"Vidzemes slimnīca" – 1 292 468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sabiedrībai ar ierobežotu atbildību "Jēkabpils reģionālā slimnīca" – 454 677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sabiedrībai ar ierobežotu atbildību "Rēzeknes slimnīca" – 125 991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sabiedrībai ar ierobežotu atbildību "Rīgas 1. slimnīca" –  8100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sabiedrībai ar ierobežotu atbildību "Dobeles un apkārtnes slimnīca" – 11 737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Nacionālajam veselības dienestam – 3 268 328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Publisko resursu ieguldījums valsts apmaksāto veselības aprūpes pakalpojumu nodrošināšanai tiks sniegts,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22-TA-560</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22-TA-560</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rīkojuma_projekts_22-TA-560.docx</dc:title>
</cp:coreProperties>
</file>

<file path=docProps/custom.xml><?xml version="1.0" encoding="utf-8"?>
<Properties xmlns="http://schemas.openxmlformats.org/officeDocument/2006/custom-properties" xmlns:vt="http://schemas.openxmlformats.org/officeDocument/2006/docPropsVTypes"/>
</file>