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veidlapas paraugu bāriņtiesas darbības jomā un veidlapas aizpildīšanas un iesniegšanas kārtību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oficiālās statistikas veidlapas "Bāriņtiesas pārskats par darbu 20____. gadā" (turpmāk – veidlapa) paraugu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kā arī veidlapas aizpildīšanas un iesniegšanas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Bāriņtiesa veidlapu par iepriekšējo kalendāra gadu aizpilda, pamatojoties uz pārskata gadā izskatītajām lietām un pieņemtajiem lēmumiem, un līdz kārtējā gada 1. februārim iesniedz Bērnu aizsardzības centrā.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Bērnu aizsardzības centrs konstatē kļūdas bāriņtiesas aizpildītajā veidlapā, tā par kļūdām informē attiecīgo bāriņtiesu. Bāriņtiesa vienojas ar Bērnu  aizsardzības centru par termiņu, kādā precizējama veidlapā iekļautā informācija.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Bērnu aizsardzības centrs apkopo bāriņtiesu iesniegtajās veidlapās iekļauto informāciju un līdz kārtējā gada 1. aprīlim iesniedz tās kopsavilkumu Centrālajā statistikas pārvaldē.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24-TA-3315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24-TA-3315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noteikumu_konsolidētā_versija_24-TA-3315.docx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