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BD72D" w14:textId="77777777" w:rsidR="00B3072F" w:rsidRPr="007F4DF8" w:rsidRDefault="00B3072F" w:rsidP="007F4DF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7F4DF8">
        <w:rPr>
          <w:rFonts w:ascii="Times New Roman" w:hAnsi="Times New Roman" w:cs="Times New Roman"/>
          <w:sz w:val="28"/>
          <w:szCs w:val="28"/>
        </w:rPr>
        <w:t xml:space="preserve">Pielikums </w:t>
      </w:r>
    </w:p>
    <w:p w14:paraId="5BFABE46" w14:textId="77777777" w:rsidR="00B3072F" w:rsidRPr="007F4DF8" w:rsidRDefault="00B3072F" w:rsidP="007F4DF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F4DF8">
        <w:rPr>
          <w:rFonts w:ascii="Times New Roman" w:hAnsi="Times New Roman" w:cs="Times New Roman"/>
          <w:sz w:val="28"/>
          <w:szCs w:val="28"/>
        </w:rPr>
        <w:t xml:space="preserve">Ministru kabineta </w:t>
      </w:r>
    </w:p>
    <w:p w14:paraId="3D6276F8" w14:textId="77777777" w:rsidR="00B3072F" w:rsidRPr="007F4DF8" w:rsidRDefault="00B3072F" w:rsidP="007F4DF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F4DF8">
        <w:rPr>
          <w:rFonts w:ascii="Times New Roman" w:hAnsi="Times New Roman" w:cs="Times New Roman"/>
          <w:sz w:val="28"/>
          <w:szCs w:val="28"/>
        </w:rPr>
        <w:fldChar w:fldCharType="begin"/>
      </w:r>
      <w:r w:rsidRPr="007F4DF8">
        <w:rPr>
          <w:rFonts w:ascii="Times New Roman" w:hAnsi="Times New Roman" w:cs="Times New Roman"/>
          <w:sz w:val="28"/>
          <w:szCs w:val="28"/>
        </w:rPr>
        <w:instrText xml:space="preserve"> MERGEFIELD  =TAP_RIK_DATUMS_GEN  \* MERGEFORMAT </w:instrText>
      </w:r>
      <w:r w:rsidRPr="007F4DF8">
        <w:rPr>
          <w:rFonts w:ascii="Times New Roman" w:hAnsi="Times New Roman" w:cs="Times New Roman"/>
          <w:sz w:val="28"/>
          <w:szCs w:val="28"/>
        </w:rPr>
        <w:fldChar w:fldCharType="separate"/>
      </w:r>
      <w:r w:rsidRPr="007F4DF8">
        <w:rPr>
          <w:rFonts w:ascii="Times New Roman" w:hAnsi="Times New Roman" w:cs="Times New Roman"/>
          <w:sz w:val="28"/>
          <w:szCs w:val="28"/>
        </w:rPr>
        <w:t>«=TAP_RIK_DATUMS_GEN»</w:t>
      </w:r>
      <w:r w:rsidRPr="007F4DF8">
        <w:rPr>
          <w:rFonts w:ascii="Times New Roman" w:hAnsi="Times New Roman" w:cs="Times New Roman"/>
          <w:sz w:val="28"/>
          <w:szCs w:val="28"/>
        </w:rPr>
        <w:fldChar w:fldCharType="end"/>
      </w:r>
    </w:p>
    <w:p w14:paraId="057AE562" w14:textId="77777777" w:rsidR="00B3072F" w:rsidRPr="007F4DF8" w:rsidRDefault="00B3072F" w:rsidP="007F4DF8">
      <w:pPr>
        <w:spacing w:after="0" w:line="240" w:lineRule="auto"/>
        <w:jc w:val="right"/>
        <w:rPr>
          <w:rFonts w:ascii="Times New Roman" w:hAnsi="Times New Roman" w:cs="Times New Roman"/>
          <w:sz w:val="28"/>
          <w:szCs w:val="28"/>
        </w:rPr>
      </w:pPr>
      <w:r w:rsidRPr="007F4DF8">
        <w:rPr>
          <w:rFonts w:ascii="Times New Roman" w:hAnsi="Times New Roman" w:cs="Times New Roman"/>
          <w:sz w:val="28"/>
          <w:szCs w:val="28"/>
        </w:rPr>
        <w:t xml:space="preserve">rīkojumam Nr. </w:t>
      </w:r>
      <w:r w:rsidRPr="007F4DF8">
        <w:rPr>
          <w:rFonts w:ascii="Times New Roman" w:hAnsi="Times New Roman" w:cs="Times New Roman"/>
          <w:sz w:val="28"/>
          <w:szCs w:val="28"/>
        </w:rPr>
        <w:fldChar w:fldCharType="begin"/>
      </w:r>
      <w:r w:rsidRPr="007F4DF8">
        <w:rPr>
          <w:rFonts w:ascii="Times New Roman" w:hAnsi="Times New Roman" w:cs="Times New Roman"/>
          <w:sz w:val="28"/>
          <w:szCs w:val="28"/>
        </w:rPr>
        <w:instrText xml:space="preserve"> MERGEFIELD =TAP_DOK_NUMURS \* MERGEFORMAT </w:instrText>
      </w:r>
      <w:r w:rsidRPr="007F4DF8">
        <w:rPr>
          <w:rFonts w:ascii="Times New Roman" w:hAnsi="Times New Roman" w:cs="Times New Roman"/>
          <w:sz w:val="28"/>
          <w:szCs w:val="28"/>
        </w:rPr>
        <w:fldChar w:fldCharType="separate"/>
      </w:r>
      <w:r w:rsidRPr="007F4DF8">
        <w:rPr>
          <w:rFonts w:ascii="Times New Roman" w:hAnsi="Times New Roman" w:cs="Times New Roman"/>
          <w:sz w:val="28"/>
          <w:szCs w:val="28"/>
        </w:rPr>
        <w:t>«=TAP_DOK_NUMURS»</w:t>
      </w:r>
      <w:r w:rsidRPr="007F4DF8">
        <w:rPr>
          <w:rFonts w:ascii="Times New Roman" w:hAnsi="Times New Roman" w:cs="Times New Roman"/>
          <w:sz w:val="28"/>
          <w:szCs w:val="28"/>
        </w:rPr>
        <w:fldChar w:fldCharType="end"/>
      </w:r>
    </w:p>
    <w:bookmarkEnd w:id="0"/>
    <w:p w14:paraId="7CC53701" w14:textId="181D0C56" w:rsidR="00456FCB" w:rsidRPr="00456FCB" w:rsidRDefault="00456FCB" w:rsidP="64AB79F5">
      <w:pPr>
        <w:spacing w:after="0" w:line="240" w:lineRule="auto"/>
        <w:ind w:right="184"/>
        <w:jc w:val="right"/>
        <w:rPr>
          <w:rFonts w:ascii="Times New Roman" w:hAnsi="Times New Roman" w:cs="Times New Roman"/>
          <w:sz w:val="28"/>
          <w:szCs w:val="28"/>
        </w:rPr>
      </w:pPr>
    </w:p>
    <w:tbl>
      <w:tblPr>
        <w:tblW w:w="5171" w:type="pct"/>
        <w:tblCellSpacing w:w="0" w:type="dxa"/>
        <w:tblInd w:w="-284" w:type="dxa"/>
        <w:tblCellMar>
          <w:left w:w="0" w:type="dxa"/>
          <w:right w:w="0" w:type="dxa"/>
        </w:tblCellMar>
        <w:tblLook w:val="04A0" w:firstRow="1" w:lastRow="0" w:firstColumn="1" w:lastColumn="0" w:noHBand="0" w:noVBand="1"/>
      </w:tblPr>
      <w:tblGrid>
        <w:gridCol w:w="312"/>
        <w:gridCol w:w="8903"/>
        <w:gridCol w:w="66"/>
        <w:gridCol w:w="6"/>
        <w:gridCol w:w="74"/>
        <w:gridCol w:w="60"/>
        <w:gridCol w:w="6"/>
      </w:tblGrid>
      <w:tr w:rsidR="00F72E46" w:rsidRPr="00F72E46" w14:paraId="57897812" w14:textId="77777777" w:rsidTr="64AB79F5">
        <w:trPr>
          <w:gridAfter w:val="3"/>
          <w:wAfter w:w="74" w:type="pct"/>
          <w:tblCellSpacing w:w="0" w:type="dxa"/>
        </w:trPr>
        <w:tc>
          <w:tcPr>
            <w:tcW w:w="4888" w:type="pct"/>
            <w:gridSpan w:val="2"/>
            <w:hideMark/>
          </w:tcPr>
          <w:p w14:paraId="263495E6" w14:textId="1B0E202D" w:rsidR="003E6229" w:rsidRPr="00F72E46" w:rsidRDefault="003E6229" w:rsidP="00B7095E">
            <w:pPr>
              <w:spacing w:after="0" w:line="240" w:lineRule="auto"/>
              <w:jc w:val="right"/>
              <w:rPr>
                <w:rFonts w:ascii="Times New Roman" w:hAnsi="Times New Roman" w:cs="Times New Roman"/>
                <w:sz w:val="28"/>
                <w:szCs w:val="28"/>
              </w:rPr>
            </w:pPr>
            <w:bookmarkStart w:id="1" w:name="_Hlk177112746"/>
            <w:r w:rsidRPr="00F72E46">
              <w:rPr>
                <w:rFonts w:ascii="Times New Roman" w:hAnsi="Times New Roman" w:cs="Times New Roman"/>
                <w:sz w:val="28"/>
                <w:szCs w:val="28"/>
              </w:rPr>
              <w:t>"Pielikums</w:t>
            </w:r>
          </w:p>
          <w:p w14:paraId="4A676701" w14:textId="77777777" w:rsidR="003E6229" w:rsidRPr="00F72E46" w:rsidRDefault="003E6229" w:rsidP="00B7095E">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Ministru kabineta</w:t>
            </w:r>
          </w:p>
          <w:p w14:paraId="7BE77204" w14:textId="77777777" w:rsidR="003E6229" w:rsidRPr="00F72E46" w:rsidRDefault="003E6229" w:rsidP="00B7095E">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2023. gada 6. aprīļa</w:t>
            </w:r>
          </w:p>
          <w:p w14:paraId="2B80C0D4" w14:textId="4BC610A1" w:rsidR="003E6229" w:rsidRPr="00F72E46" w:rsidRDefault="003E6229" w:rsidP="00B7095E">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rīkojumam Nr. 197</w:t>
            </w:r>
          </w:p>
          <w:p w14:paraId="1B6F6C88" w14:textId="77777777" w:rsidR="003E6229" w:rsidRPr="00F72E46" w:rsidRDefault="003E6229" w:rsidP="00F72E46">
            <w:pPr>
              <w:spacing w:after="0" w:line="240" w:lineRule="auto"/>
              <w:jc w:val="both"/>
              <w:rPr>
                <w:rFonts w:ascii="Times New Roman" w:hAnsi="Times New Roman" w:cs="Times New Roman"/>
                <w:b/>
                <w:bCs/>
                <w:sz w:val="28"/>
                <w:szCs w:val="28"/>
              </w:rPr>
            </w:pPr>
          </w:p>
          <w:p w14:paraId="3B7DB5AA" w14:textId="1BF830A8" w:rsidR="003A0C1A" w:rsidRPr="00F72E46" w:rsidRDefault="00344CC8" w:rsidP="00B7095E">
            <w:pPr>
              <w:spacing w:after="0" w:line="240" w:lineRule="auto"/>
              <w:jc w:val="center"/>
              <w:rPr>
                <w:rFonts w:ascii="Times New Roman" w:hAnsi="Times New Roman" w:cs="Times New Roman"/>
                <w:b/>
                <w:bCs/>
                <w:sz w:val="28"/>
                <w:szCs w:val="28"/>
              </w:rPr>
            </w:pPr>
            <w:r w:rsidRPr="00F72E46">
              <w:rPr>
                <w:rFonts w:ascii="Times New Roman" w:hAnsi="Times New Roman" w:cs="Times New Roman"/>
                <w:b/>
                <w:bCs/>
                <w:sz w:val="28"/>
                <w:szCs w:val="28"/>
              </w:rPr>
              <w:t>Projekta pase</w:t>
            </w:r>
          </w:p>
          <w:p w14:paraId="1EB53188" w14:textId="77777777" w:rsidR="008C38B1" w:rsidRPr="00F72E46" w:rsidRDefault="008C38B1" w:rsidP="00F72E46">
            <w:pPr>
              <w:spacing w:after="0" w:line="240" w:lineRule="auto"/>
              <w:jc w:val="both"/>
              <w:rPr>
                <w:rFonts w:ascii="Times New Roman" w:hAnsi="Times New Roman" w:cs="Times New Roman"/>
                <w:b/>
                <w:bCs/>
                <w:sz w:val="24"/>
                <w:szCs w:val="24"/>
              </w:rPr>
            </w:pPr>
            <w:bookmarkStart w:id="2" w:name="n-1188180"/>
            <w:bookmarkStart w:id="3" w:name="n2.1.3"/>
            <w:bookmarkEnd w:id="2"/>
            <w:bookmarkEnd w:id="3"/>
          </w:p>
          <w:p w14:paraId="60AF0EE7" w14:textId="18917153" w:rsidR="003A0C1A" w:rsidRPr="00F72E46" w:rsidRDefault="003A0C1A" w:rsidP="00102F23">
            <w:pPr>
              <w:spacing w:after="0" w:line="240" w:lineRule="auto"/>
              <w:jc w:val="center"/>
              <w:rPr>
                <w:rFonts w:ascii="Times New Roman" w:hAnsi="Times New Roman" w:cs="Times New Roman"/>
                <w:b/>
                <w:bCs/>
                <w:sz w:val="24"/>
                <w:szCs w:val="24"/>
              </w:rPr>
            </w:pPr>
            <w:r w:rsidRPr="00F72E46">
              <w:rPr>
                <w:rFonts w:ascii="Times New Roman" w:hAnsi="Times New Roman" w:cs="Times New Roman"/>
                <w:b/>
                <w:bCs/>
                <w:sz w:val="24"/>
                <w:szCs w:val="24"/>
              </w:rPr>
              <w:t>2.1.3.1.i. investīcijas projekta "Klīnisko universitāšu slimnīcu onkoloģijas pacienta datu apmaiņas platformas izveide" pase</w:t>
            </w:r>
          </w:p>
          <w:p w14:paraId="72DC1875" w14:textId="77777777" w:rsidR="00A73640" w:rsidRPr="00F72E46" w:rsidRDefault="00A73640" w:rsidP="00F72E46">
            <w:pPr>
              <w:spacing w:after="0" w:line="240" w:lineRule="auto"/>
              <w:jc w:val="both"/>
              <w:rPr>
                <w:rFonts w:ascii="Times New Roman" w:hAnsi="Times New Roman" w:cs="Times New Roman"/>
                <w:sz w:val="24"/>
                <w:szCs w:val="24"/>
              </w:rPr>
            </w:pPr>
          </w:p>
          <w:p w14:paraId="36DB8D1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1.</w:t>
            </w:r>
            <w:r w:rsidRPr="00F72E46">
              <w:rPr>
                <w:rFonts w:ascii="Times New Roman" w:hAnsi="Times New Roman" w:cs="Times New Roman"/>
                <w:sz w:val="24"/>
                <w:szCs w:val="24"/>
              </w:rPr>
              <w:t> </w:t>
            </w:r>
            <w:r w:rsidRPr="00F72E46">
              <w:rPr>
                <w:rFonts w:ascii="Times New Roman" w:hAnsi="Times New Roman" w:cs="Times New Roman"/>
                <w:b/>
                <w:bCs/>
                <w:sz w:val="24"/>
                <w:szCs w:val="24"/>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760"/>
              <w:gridCol w:w="6439"/>
            </w:tblGrid>
            <w:tr w:rsidR="00F72E46" w:rsidRPr="00F72E46" w14:paraId="406DBE91"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1FC03E51" w14:textId="77777777" w:rsidR="003A0C1A" w:rsidRPr="00F72E46" w:rsidRDefault="003A0C1A" w:rsidP="00102F23">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1.1. Finansējuma saņēmējs, kas īsteno projektu (institūcija)</w:t>
                  </w:r>
                </w:p>
              </w:tc>
              <w:tc>
                <w:tcPr>
                  <w:tcW w:w="3500" w:type="pct"/>
                  <w:tcBorders>
                    <w:top w:val="outset" w:sz="6" w:space="0" w:color="414142"/>
                    <w:left w:val="outset" w:sz="6" w:space="0" w:color="414142"/>
                    <w:bottom w:val="outset" w:sz="6" w:space="0" w:color="414142"/>
                    <w:right w:val="outset" w:sz="6" w:space="0" w:color="414142"/>
                  </w:tcBorders>
                  <w:hideMark/>
                </w:tcPr>
                <w:p w14:paraId="2D235B2E"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SIA "Rīgas Austrumu klīniskā universitātes slimnīca"</w:t>
                  </w:r>
                </w:p>
              </w:tc>
            </w:tr>
            <w:tr w:rsidR="00F72E46" w:rsidRPr="00F72E46" w14:paraId="2B998C20"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4D3485C2" w14:textId="77777777" w:rsidR="003A0C1A" w:rsidRPr="00F72E46" w:rsidRDefault="003A0C1A" w:rsidP="00102F23">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1.2. Projekta īstenošanas partneri</w:t>
                  </w:r>
                </w:p>
              </w:tc>
              <w:tc>
                <w:tcPr>
                  <w:tcW w:w="3500" w:type="pct"/>
                  <w:tcBorders>
                    <w:top w:val="outset" w:sz="6" w:space="0" w:color="414142"/>
                    <w:left w:val="outset" w:sz="6" w:space="0" w:color="414142"/>
                    <w:bottom w:val="outset" w:sz="6" w:space="0" w:color="414142"/>
                    <w:right w:val="outset" w:sz="6" w:space="0" w:color="414142"/>
                  </w:tcBorders>
                  <w:hideMark/>
                </w:tcPr>
                <w:p w14:paraId="72FC4F7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VSIA "Paula Stradiņa klīniskā universitātes slimnīca" (PSKUS),</w:t>
                  </w:r>
                </w:p>
                <w:p w14:paraId="5480BECD" w14:textId="6EE37782" w:rsidR="003A0C1A" w:rsidRPr="00F72E46" w:rsidRDefault="2FE7A9B3"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V</w:t>
                  </w:r>
                  <w:r w:rsidR="4AED5840" w:rsidRPr="64AB79F5">
                    <w:rPr>
                      <w:rFonts w:ascii="Times New Roman" w:hAnsi="Times New Roman" w:cs="Times New Roman"/>
                      <w:sz w:val="24"/>
                      <w:szCs w:val="24"/>
                    </w:rPr>
                    <w:t>SIA "Bērnu klīniskā universitātes slimnīca" (BKUS),</w:t>
                  </w:r>
                </w:p>
                <w:p w14:paraId="6A249802"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Nacionālais veselības dienests (NVD),</w:t>
                  </w:r>
                </w:p>
                <w:p w14:paraId="18B7FC6A" w14:textId="00FC16F7" w:rsidR="001C3427" w:rsidRPr="00F72E46" w:rsidRDefault="71CE6D7F"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Latvijas Digitālās veselības centrs (LDVC), </w:t>
                  </w:r>
                </w:p>
                <w:p w14:paraId="18E88741" w14:textId="04106EF4"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Valsts </w:t>
                  </w:r>
                  <w:r w:rsidR="79A2C18B" w:rsidRPr="64AB79F5">
                    <w:rPr>
                      <w:rFonts w:ascii="Times New Roman" w:hAnsi="Times New Roman" w:cs="Times New Roman"/>
                      <w:sz w:val="24"/>
                      <w:szCs w:val="24"/>
                    </w:rPr>
                    <w:t xml:space="preserve">digitālās attīstības aģentūra </w:t>
                  </w:r>
                  <w:r w:rsidR="71CE6D7F" w:rsidRPr="64AB79F5">
                    <w:rPr>
                      <w:rFonts w:ascii="Times New Roman" w:hAnsi="Times New Roman" w:cs="Times New Roman"/>
                      <w:sz w:val="24"/>
                      <w:szCs w:val="24"/>
                    </w:rPr>
                    <w:t>(VDAA)</w:t>
                  </w:r>
                </w:p>
              </w:tc>
            </w:tr>
          </w:tbl>
          <w:p w14:paraId="3CA1745A"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760"/>
              <w:gridCol w:w="6439"/>
            </w:tblGrid>
            <w:tr w:rsidR="00F72E46" w:rsidRPr="00F72E46" w14:paraId="3A63E771"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18F97A89" w14:textId="77777777" w:rsidR="003A0C1A" w:rsidRPr="00F72E46" w:rsidRDefault="003A0C1A" w:rsidP="000153C0">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2.1. Programmas nosaukums</w:t>
                  </w:r>
                </w:p>
              </w:tc>
              <w:tc>
                <w:tcPr>
                  <w:tcW w:w="3500" w:type="pct"/>
                  <w:tcBorders>
                    <w:top w:val="outset" w:sz="6" w:space="0" w:color="414142"/>
                    <w:left w:val="outset" w:sz="6" w:space="0" w:color="414142"/>
                    <w:bottom w:val="outset" w:sz="6" w:space="0" w:color="414142"/>
                    <w:right w:val="outset" w:sz="6" w:space="0" w:color="414142"/>
                  </w:tcBorders>
                  <w:hideMark/>
                </w:tcPr>
                <w:p w14:paraId="35DEAB71"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Datu pārvaldības attīstības programma</w:t>
                  </w:r>
                </w:p>
              </w:tc>
            </w:tr>
            <w:tr w:rsidR="00F72E46" w:rsidRPr="00F72E46" w14:paraId="24EC4FA0"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25B2A847" w14:textId="77777777" w:rsidR="003A0C1A" w:rsidRPr="00F72E46" w:rsidRDefault="003A0C1A" w:rsidP="000153C0">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2.2. Saistība ar citiem projektiem</w:t>
                  </w:r>
                </w:p>
              </w:tc>
              <w:tc>
                <w:tcPr>
                  <w:tcW w:w="3500" w:type="pct"/>
                  <w:tcBorders>
                    <w:top w:val="outset" w:sz="6" w:space="0" w:color="414142"/>
                    <w:left w:val="outset" w:sz="6" w:space="0" w:color="414142"/>
                    <w:bottom w:val="outset" w:sz="6" w:space="0" w:color="414142"/>
                    <w:right w:val="outset" w:sz="6" w:space="0" w:color="414142"/>
                  </w:tcBorders>
                  <w:hideMark/>
                </w:tcPr>
                <w:p w14:paraId="0D206AB6" w14:textId="77777777" w:rsidR="001C3427" w:rsidRPr="00F72E46" w:rsidRDefault="71CE6D7F" w:rsidP="001C3427">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VDAA projekts "Vienotā datu koplietošanas platforma publiskā sektora un tautsaimniecības datu koplietošanai nacionāli un Eiropas datu telpas ietvaros, t. sk. ieviešot risinājumus datu </w:t>
                  </w:r>
                  <w:proofErr w:type="spellStart"/>
                  <w:r w:rsidRPr="64AB79F5">
                    <w:rPr>
                      <w:rFonts w:ascii="Times New Roman" w:hAnsi="Times New Roman" w:cs="Times New Roman"/>
                      <w:sz w:val="24"/>
                      <w:szCs w:val="24"/>
                    </w:rPr>
                    <w:t>depersonalizācijai</w:t>
                  </w:r>
                  <w:proofErr w:type="spellEnd"/>
                  <w:r w:rsidRPr="64AB79F5">
                    <w:rPr>
                      <w:rFonts w:ascii="Times New Roman" w:hAnsi="Times New Roman" w:cs="Times New Roman"/>
                      <w:sz w:val="24"/>
                      <w:szCs w:val="24"/>
                    </w:rPr>
                    <w:t>, kā arī personas pārvaldītai un kontrolētai datu koplietošanai", 2.1.3.1.i.0/1/23/I/VARAM/004.</w:t>
                  </w:r>
                </w:p>
                <w:p w14:paraId="446D01D6" w14:textId="7FA9C9F1"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Apliecinām dubultā finansējuma riska </w:t>
                  </w:r>
                  <w:proofErr w:type="spellStart"/>
                  <w:r w:rsidRPr="64AB79F5">
                    <w:rPr>
                      <w:rFonts w:ascii="Times New Roman" w:hAnsi="Times New Roman" w:cs="Times New Roman"/>
                      <w:sz w:val="24"/>
                      <w:szCs w:val="24"/>
                    </w:rPr>
                    <w:t>neesību</w:t>
                  </w:r>
                  <w:proofErr w:type="spellEnd"/>
                  <w:r w:rsidRPr="64AB79F5">
                    <w:rPr>
                      <w:rFonts w:ascii="Times New Roman" w:hAnsi="Times New Roman" w:cs="Times New Roman"/>
                      <w:sz w:val="24"/>
                      <w:szCs w:val="24"/>
                    </w:rPr>
                    <w:t xml:space="preserve"> attiecībā uz norādīto projektu, kā arī apliecinām, ka projekta īstenošanas laikā dubultā finansējuma risks ar saistītām aktivitātēm tiks stingri uzraudzīts</w:t>
                  </w:r>
                </w:p>
              </w:tc>
            </w:tr>
          </w:tbl>
          <w:p w14:paraId="18B781A6"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759"/>
              <w:gridCol w:w="3588"/>
              <w:gridCol w:w="1472"/>
              <w:gridCol w:w="1380"/>
            </w:tblGrid>
            <w:tr w:rsidR="00F72E46" w:rsidRPr="00F72E46" w14:paraId="7751E8F4"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52F56C95" w14:textId="77777777" w:rsidR="003A0C1A" w:rsidRPr="00F72E46" w:rsidRDefault="003A0C1A" w:rsidP="000153C0">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3.1. Projekta mērķis un galvenais saturs</w:t>
                  </w:r>
                </w:p>
              </w:tc>
              <w:tc>
                <w:tcPr>
                  <w:tcW w:w="3500" w:type="pct"/>
                  <w:gridSpan w:val="3"/>
                  <w:tcBorders>
                    <w:top w:val="outset" w:sz="6" w:space="0" w:color="414142"/>
                    <w:left w:val="outset" w:sz="6" w:space="0" w:color="414142"/>
                    <w:bottom w:val="outset" w:sz="6" w:space="0" w:color="414142"/>
                    <w:right w:val="outset" w:sz="6" w:space="0" w:color="414142"/>
                  </w:tcBorders>
                  <w:hideMark/>
                </w:tcPr>
                <w:p w14:paraId="2C53819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u w:val="single"/>
                    </w:rPr>
                    <w:t>Mērķis:</w:t>
                  </w:r>
                </w:p>
                <w:p w14:paraId="1A9E980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 Izveidot platformu optimāli koordinētai onkoloģijas pacientu datu apmaiņai klīnisko universitāšu slimnīcu (KUS) ietvaros.</w:t>
                  </w:r>
                </w:p>
                <w:p w14:paraId="513B242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2. Panākt </w:t>
                  </w:r>
                  <w:proofErr w:type="spellStart"/>
                  <w:r w:rsidRPr="00F72E46">
                    <w:rPr>
                      <w:rFonts w:ascii="Times New Roman" w:hAnsi="Times New Roman" w:cs="Times New Roman"/>
                      <w:sz w:val="24"/>
                      <w:szCs w:val="24"/>
                    </w:rPr>
                    <w:t>digitalizētu</w:t>
                  </w:r>
                  <w:proofErr w:type="spellEnd"/>
                  <w:r w:rsidRPr="00F72E46">
                    <w:rPr>
                      <w:rFonts w:ascii="Times New Roman" w:hAnsi="Times New Roman" w:cs="Times New Roman"/>
                      <w:sz w:val="24"/>
                      <w:szCs w:val="24"/>
                    </w:rPr>
                    <w:t xml:space="preserve"> onkoloģijas pacientu ārstniecības un aprūpes datu apmaiņu starp KUS.</w:t>
                  </w:r>
                </w:p>
                <w:p w14:paraId="64E6BD5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Projekta mērķis tiek uzskatīts par sasniegtu, ja īstenotas projektā paredzētās aktivitātes.</w:t>
                  </w:r>
                </w:p>
                <w:p w14:paraId="02F99B6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u w:val="single"/>
                    </w:rPr>
                    <w:t>Galvenais saturs:</w:t>
                  </w:r>
                  <w:r w:rsidRPr="00F72E46">
                    <w:rPr>
                      <w:rFonts w:ascii="Times New Roman" w:hAnsi="Times New Roman" w:cs="Times New Roman"/>
                      <w:sz w:val="24"/>
                      <w:szCs w:val="24"/>
                    </w:rPr>
                    <w:t xml:space="preserve"> Covid-19 pandēmija palīdzēja izgaismot dažādu sadarbības modeļu nepieciešamību, lai varētu nodrošināt pakalpojumu nepārtrauktību un efektīvu īstenošanu. Procesu vienota transformācija atbilstoši digitālās vides prasībām un </w:t>
                  </w:r>
                  <w:r w:rsidRPr="00F72E46">
                    <w:rPr>
                      <w:rFonts w:ascii="Times New Roman" w:hAnsi="Times New Roman" w:cs="Times New Roman"/>
                      <w:sz w:val="24"/>
                      <w:szCs w:val="24"/>
                    </w:rPr>
                    <w:lastRenderedPageBreak/>
                    <w:t xml:space="preserve">iespējām ir efektīvākais veids, kā nodrošināt </w:t>
                  </w:r>
                  <w:proofErr w:type="spellStart"/>
                  <w:r w:rsidRPr="00F72E46">
                    <w:rPr>
                      <w:rFonts w:ascii="Times New Roman" w:hAnsi="Times New Roman" w:cs="Times New Roman"/>
                      <w:sz w:val="24"/>
                      <w:szCs w:val="24"/>
                    </w:rPr>
                    <w:t>proaktīvu</w:t>
                  </w:r>
                  <w:proofErr w:type="spellEnd"/>
                  <w:r w:rsidRPr="00F72E46">
                    <w:rPr>
                      <w:rFonts w:ascii="Times New Roman" w:hAnsi="Times New Roman" w:cs="Times New Roman"/>
                      <w:sz w:val="24"/>
                      <w:szCs w:val="24"/>
                    </w:rPr>
                    <w:t xml:space="preserve"> sadarbību starp slimnīcu ārstniecības speciālistiem. Ir panākta vienošanās starp RAKUS, PSKUS un BKUS, ka onkoloģijas pacientu datu apmaiņas process ir jātransformē, to unificējot un pielāgojot digitālajai videi.</w:t>
                  </w:r>
                </w:p>
                <w:p w14:paraId="1B2312C2" w14:textId="5D05BC1F" w:rsidR="001C3427" w:rsidRDefault="71CE6D7F"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Vienotās veselības nozares elektroniskās informācijas sistēmas (e-veselības IS) </w:t>
                  </w:r>
                  <w:r w:rsidR="2193413E" w:rsidRPr="64AB79F5">
                    <w:rPr>
                      <w:rFonts w:ascii="Times New Roman" w:hAnsi="Times New Roman" w:cs="Times New Roman"/>
                      <w:sz w:val="24"/>
                      <w:szCs w:val="24"/>
                    </w:rPr>
                    <w:t xml:space="preserve">funkcionalitātes attīstībā </w:t>
                  </w:r>
                  <w:r w:rsidR="32D698E1" w:rsidRPr="64AB79F5">
                    <w:rPr>
                      <w:rFonts w:ascii="Times New Roman" w:hAnsi="Times New Roman" w:cs="Times New Roman"/>
                      <w:sz w:val="24"/>
                      <w:szCs w:val="24"/>
                    </w:rPr>
                    <w:t xml:space="preserve">iekļauta </w:t>
                  </w:r>
                  <w:r w:rsidR="2193413E" w:rsidRPr="64AB79F5">
                    <w:rPr>
                      <w:rFonts w:ascii="Times New Roman" w:hAnsi="Times New Roman" w:cs="Times New Roman"/>
                      <w:sz w:val="24"/>
                      <w:szCs w:val="24"/>
                    </w:rPr>
                    <w:t xml:space="preserve">gan </w:t>
                  </w:r>
                  <w:r w:rsidR="5A89E9D1" w:rsidRPr="64AB79F5">
                    <w:rPr>
                      <w:rFonts w:ascii="Times New Roman" w:hAnsi="Times New Roman" w:cs="Times New Roman"/>
                      <w:sz w:val="24"/>
                      <w:szCs w:val="24"/>
                    </w:rPr>
                    <w:t xml:space="preserve">strukturēta </w:t>
                  </w:r>
                  <w:r w:rsidR="32D698E1" w:rsidRPr="64AB79F5">
                    <w:rPr>
                      <w:rFonts w:ascii="Times New Roman" w:hAnsi="Times New Roman" w:cs="Times New Roman"/>
                      <w:sz w:val="24"/>
                      <w:szCs w:val="24"/>
                    </w:rPr>
                    <w:t>pacienta izrakstu,</w:t>
                  </w:r>
                  <w:r w:rsidR="2193413E" w:rsidRPr="64AB79F5">
                    <w:rPr>
                      <w:rFonts w:ascii="Times New Roman" w:hAnsi="Times New Roman" w:cs="Times New Roman"/>
                      <w:sz w:val="24"/>
                      <w:szCs w:val="24"/>
                    </w:rPr>
                    <w:t xml:space="preserve"> gan laboratorijas</w:t>
                  </w:r>
                  <w:r w:rsidR="32D698E1" w:rsidRPr="64AB79F5">
                    <w:rPr>
                      <w:rFonts w:ascii="Times New Roman" w:hAnsi="Times New Roman" w:cs="Times New Roman"/>
                      <w:sz w:val="24"/>
                      <w:szCs w:val="24"/>
                    </w:rPr>
                    <w:t xml:space="preserve"> izmeklējumu datu</w:t>
                  </w:r>
                  <w:r w:rsidR="5A89E9D1" w:rsidRPr="64AB79F5">
                    <w:rPr>
                      <w:rFonts w:ascii="Times New Roman" w:hAnsi="Times New Roman" w:cs="Times New Roman"/>
                      <w:sz w:val="24"/>
                      <w:szCs w:val="24"/>
                    </w:rPr>
                    <w:t xml:space="preserve"> uzkrāšana no ārstniecības iestādēm</w:t>
                  </w:r>
                  <w:r w:rsidR="32D698E1" w:rsidRPr="64AB79F5">
                    <w:rPr>
                      <w:rFonts w:ascii="Times New Roman" w:hAnsi="Times New Roman" w:cs="Times New Roman"/>
                      <w:sz w:val="24"/>
                      <w:szCs w:val="24"/>
                    </w:rPr>
                    <w:t xml:space="preserve">, taču vērtību ārstniecībai nodrošina </w:t>
                  </w:r>
                  <w:r w:rsidR="7436A584" w:rsidRPr="64AB79F5">
                    <w:rPr>
                      <w:rFonts w:ascii="Times New Roman" w:hAnsi="Times New Roman" w:cs="Times New Roman"/>
                      <w:sz w:val="24"/>
                      <w:szCs w:val="24"/>
                    </w:rPr>
                    <w:t xml:space="preserve">arī </w:t>
                  </w:r>
                  <w:r w:rsidR="32D698E1" w:rsidRPr="64AB79F5">
                    <w:rPr>
                      <w:rFonts w:ascii="Times New Roman" w:hAnsi="Times New Roman" w:cs="Times New Roman"/>
                      <w:sz w:val="24"/>
                      <w:szCs w:val="24"/>
                    </w:rPr>
                    <w:t xml:space="preserve">vēsturisko datu pieejamība </w:t>
                  </w:r>
                  <w:r w:rsidR="7436A584" w:rsidRPr="64AB79F5">
                    <w:rPr>
                      <w:rFonts w:ascii="Times New Roman" w:hAnsi="Times New Roman" w:cs="Times New Roman"/>
                      <w:sz w:val="24"/>
                      <w:szCs w:val="24"/>
                    </w:rPr>
                    <w:t xml:space="preserve">laika periodā </w:t>
                  </w:r>
                  <w:r w:rsidR="32D698E1" w:rsidRPr="64AB79F5">
                    <w:rPr>
                      <w:rFonts w:ascii="Times New Roman" w:hAnsi="Times New Roman" w:cs="Times New Roman"/>
                      <w:sz w:val="24"/>
                      <w:szCs w:val="24"/>
                    </w:rPr>
                    <w:t xml:space="preserve">pirms </w:t>
                  </w:r>
                  <w:r w:rsidRPr="64AB79F5">
                    <w:rPr>
                      <w:rFonts w:ascii="Times New Roman" w:hAnsi="Times New Roman" w:cs="Times New Roman"/>
                      <w:sz w:val="24"/>
                      <w:szCs w:val="24"/>
                    </w:rPr>
                    <w:t xml:space="preserve">e-veselības IS </w:t>
                  </w:r>
                  <w:r w:rsidR="32D698E1" w:rsidRPr="64AB79F5">
                    <w:rPr>
                      <w:rFonts w:ascii="Times New Roman" w:hAnsi="Times New Roman" w:cs="Times New Roman"/>
                      <w:sz w:val="24"/>
                      <w:szCs w:val="24"/>
                    </w:rPr>
                    <w:t>atbilstošas funkcionalitātes izstrādes</w:t>
                  </w:r>
                  <w:r w:rsidR="5A89E9D1" w:rsidRPr="64AB79F5">
                    <w:rPr>
                      <w:rFonts w:ascii="Times New Roman" w:hAnsi="Times New Roman" w:cs="Times New Roman"/>
                      <w:sz w:val="24"/>
                      <w:szCs w:val="24"/>
                    </w:rPr>
                    <w:t xml:space="preserve">. </w:t>
                  </w:r>
                  <w:r w:rsidR="4AED5840" w:rsidRPr="64AB79F5">
                    <w:rPr>
                      <w:rFonts w:ascii="Times New Roman" w:hAnsi="Times New Roman" w:cs="Times New Roman"/>
                      <w:sz w:val="24"/>
                      <w:szCs w:val="24"/>
                    </w:rPr>
                    <w:t>KUS ir nepieciešamas atbilstošas biznesa IS iespējas, kas tiks veidotas kopīgā onkoloģijas pacientu datu apmaiņas platformā un atsevišķo slimnīcu dažādu</w:t>
                  </w:r>
                  <w:r w:rsidR="2214B1D9" w:rsidRPr="64AB79F5">
                    <w:rPr>
                      <w:rFonts w:ascii="Times New Roman" w:hAnsi="Times New Roman" w:cs="Times New Roman"/>
                      <w:sz w:val="24"/>
                      <w:szCs w:val="24"/>
                    </w:rPr>
                    <w:t>s</w:t>
                  </w:r>
                  <w:r w:rsidR="4AED5840" w:rsidRPr="64AB79F5">
                    <w:rPr>
                      <w:rFonts w:ascii="Times New Roman" w:hAnsi="Times New Roman" w:cs="Times New Roman"/>
                      <w:sz w:val="24"/>
                      <w:szCs w:val="24"/>
                    </w:rPr>
                    <w:t xml:space="preserve"> biznesa procesus atbalstošo sistēmu pielāgošanā datu </w:t>
                  </w:r>
                  <w:r w:rsidR="32D698E1" w:rsidRPr="64AB79F5">
                    <w:rPr>
                      <w:rFonts w:ascii="Times New Roman" w:hAnsi="Times New Roman" w:cs="Times New Roman"/>
                      <w:sz w:val="24"/>
                      <w:szCs w:val="24"/>
                    </w:rPr>
                    <w:t xml:space="preserve">apmaiņas </w:t>
                  </w:r>
                  <w:r w:rsidR="4AED5840" w:rsidRPr="64AB79F5">
                    <w:rPr>
                      <w:rFonts w:ascii="Times New Roman" w:hAnsi="Times New Roman" w:cs="Times New Roman"/>
                      <w:sz w:val="24"/>
                      <w:szCs w:val="24"/>
                    </w:rPr>
                    <w:t xml:space="preserve">vajadzībām. </w:t>
                  </w:r>
                </w:p>
                <w:p w14:paraId="7AC516BF" w14:textId="75E680B5" w:rsidR="001C3427"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Projekta ietvaros tiks izstrādāti pielāgojumi esošajām slimnīcu sistēmām </w:t>
                  </w:r>
                  <w:r w:rsidR="27D3B89A" w:rsidRPr="64AB79F5">
                    <w:rPr>
                      <w:rFonts w:ascii="Times New Roman" w:hAnsi="Times New Roman" w:cs="Times New Roman"/>
                      <w:sz w:val="24"/>
                      <w:szCs w:val="24"/>
                    </w:rPr>
                    <w:t>,</w:t>
                  </w:r>
                  <w:r w:rsidR="667245FD" w:rsidRPr="64AB79F5">
                    <w:rPr>
                      <w:rFonts w:ascii="Times New Roman" w:hAnsi="Times New Roman" w:cs="Times New Roman"/>
                      <w:sz w:val="24"/>
                      <w:szCs w:val="24"/>
                    </w:rPr>
                    <w:t xml:space="preserve"> un tiks izstrādāts vienots risinājums</w:t>
                  </w:r>
                  <w:r w:rsidR="70A81416" w:rsidRPr="64AB79F5">
                    <w:rPr>
                      <w:rFonts w:ascii="Times New Roman" w:hAnsi="Times New Roman" w:cs="Times New Roman"/>
                      <w:sz w:val="24"/>
                      <w:szCs w:val="24"/>
                    </w:rPr>
                    <w:t>,</w:t>
                  </w:r>
                  <w:r w:rsidR="667245FD" w:rsidRPr="64AB79F5">
                    <w:rPr>
                      <w:rFonts w:ascii="Times New Roman" w:hAnsi="Times New Roman" w:cs="Times New Roman"/>
                      <w:sz w:val="24"/>
                      <w:szCs w:val="24"/>
                    </w:rPr>
                    <w:t xml:space="preserve"> </w:t>
                  </w:r>
                  <w:r w:rsidR="493464DC" w:rsidRPr="64AB79F5">
                    <w:rPr>
                      <w:rFonts w:ascii="Times New Roman" w:hAnsi="Times New Roman" w:cs="Times New Roman"/>
                      <w:sz w:val="24"/>
                      <w:szCs w:val="24"/>
                    </w:rPr>
                    <w:t xml:space="preserve">lai nodrošinātu </w:t>
                  </w:r>
                  <w:r w:rsidR="667245FD" w:rsidRPr="64AB79F5">
                    <w:rPr>
                      <w:rFonts w:ascii="Times New Roman" w:hAnsi="Times New Roman" w:cs="Times New Roman"/>
                      <w:sz w:val="24"/>
                      <w:szCs w:val="24"/>
                    </w:rPr>
                    <w:t>onkoloģisko pacientu datu apmaiņ</w:t>
                  </w:r>
                  <w:r w:rsidR="2E03745E" w:rsidRPr="64AB79F5">
                    <w:rPr>
                      <w:rFonts w:ascii="Times New Roman" w:hAnsi="Times New Roman" w:cs="Times New Roman"/>
                      <w:sz w:val="24"/>
                      <w:szCs w:val="24"/>
                    </w:rPr>
                    <w:t>u</w:t>
                  </w:r>
                  <w:r w:rsidR="27D3B89A" w:rsidRPr="64AB79F5">
                    <w:rPr>
                      <w:rFonts w:ascii="Times New Roman" w:hAnsi="Times New Roman" w:cs="Times New Roman"/>
                      <w:sz w:val="24"/>
                      <w:szCs w:val="24"/>
                    </w:rPr>
                    <w:t xml:space="preserve"> starp KUS</w:t>
                  </w:r>
                  <w:r w:rsidRPr="64AB79F5">
                    <w:rPr>
                      <w:rFonts w:ascii="Times New Roman" w:hAnsi="Times New Roman" w:cs="Times New Roman"/>
                      <w:sz w:val="24"/>
                      <w:szCs w:val="24"/>
                    </w:rPr>
                    <w:t xml:space="preserve">. </w:t>
                  </w:r>
                </w:p>
                <w:p w14:paraId="657EB92A" w14:textId="786D3550" w:rsidR="001C3427" w:rsidRPr="00F72E46" w:rsidRDefault="4AED5840" w:rsidP="001C3427">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Projekta ietvaros veikt</w:t>
                  </w:r>
                  <w:r w:rsidR="0E7B510C" w:rsidRPr="64AB79F5">
                    <w:rPr>
                      <w:rFonts w:ascii="Times New Roman" w:hAnsi="Times New Roman" w:cs="Times New Roman"/>
                      <w:sz w:val="24"/>
                      <w:szCs w:val="24"/>
                    </w:rPr>
                    <w:t>ās</w:t>
                  </w:r>
                  <w:r w:rsidRPr="64AB79F5">
                    <w:rPr>
                      <w:rFonts w:ascii="Times New Roman" w:hAnsi="Times New Roman" w:cs="Times New Roman"/>
                      <w:sz w:val="24"/>
                      <w:szCs w:val="24"/>
                    </w:rPr>
                    <w:t xml:space="preserve"> izstrād</w:t>
                  </w:r>
                  <w:r w:rsidR="1F27A3DD" w:rsidRPr="64AB79F5">
                    <w:rPr>
                      <w:rFonts w:ascii="Times New Roman" w:hAnsi="Times New Roman" w:cs="Times New Roman"/>
                      <w:sz w:val="24"/>
                      <w:szCs w:val="24"/>
                    </w:rPr>
                    <w:t>es</w:t>
                  </w:r>
                  <w:r w:rsidRPr="64AB79F5">
                    <w:rPr>
                      <w:rFonts w:ascii="Times New Roman" w:hAnsi="Times New Roman" w:cs="Times New Roman"/>
                      <w:sz w:val="24"/>
                      <w:szCs w:val="24"/>
                    </w:rPr>
                    <w:t xml:space="preserve"> un pielāgojumi pēc to pabeigšanas būs slimnīcu īpašumā, un tiks nodrošināta to darbība vismaz 60 mēnešus pēc projekta beigām. Datu izplatīšan</w:t>
                  </w:r>
                  <w:r w:rsidR="71CE6D7F" w:rsidRPr="64AB79F5">
                    <w:rPr>
                      <w:rFonts w:ascii="Times New Roman" w:hAnsi="Times New Roman" w:cs="Times New Roman"/>
                      <w:sz w:val="24"/>
                      <w:szCs w:val="24"/>
                    </w:rPr>
                    <w:t xml:space="preserve">a tiks </w:t>
                  </w:r>
                  <w:r w:rsidRPr="64AB79F5">
                    <w:rPr>
                      <w:rFonts w:ascii="Times New Roman" w:hAnsi="Times New Roman" w:cs="Times New Roman"/>
                      <w:sz w:val="24"/>
                      <w:szCs w:val="24"/>
                    </w:rPr>
                    <w:t>veidot</w:t>
                  </w:r>
                  <w:r w:rsidR="71CE6D7F" w:rsidRPr="64AB79F5">
                    <w:rPr>
                      <w:rFonts w:ascii="Times New Roman" w:hAnsi="Times New Roman" w:cs="Times New Roman"/>
                      <w:sz w:val="24"/>
                      <w:szCs w:val="24"/>
                    </w:rPr>
                    <w:t>a</w:t>
                  </w:r>
                  <w:r w:rsidRPr="64AB79F5">
                    <w:rPr>
                      <w:rFonts w:ascii="Times New Roman" w:hAnsi="Times New Roman" w:cs="Times New Roman"/>
                      <w:sz w:val="24"/>
                      <w:szCs w:val="24"/>
                    </w:rPr>
                    <w:t xml:space="preserve">, izmantojot </w:t>
                  </w:r>
                  <w:r w:rsidR="71CE6D7F" w:rsidRPr="64AB79F5">
                    <w:rPr>
                      <w:rFonts w:ascii="Times New Roman" w:hAnsi="Times New Roman" w:cs="Times New Roman"/>
                      <w:sz w:val="24"/>
                      <w:szCs w:val="24"/>
                    </w:rPr>
                    <w:t xml:space="preserve">arī </w:t>
                  </w:r>
                  <w:r w:rsidRPr="64AB79F5">
                    <w:rPr>
                      <w:rFonts w:ascii="Times New Roman" w:hAnsi="Times New Roman" w:cs="Times New Roman"/>
                      <w:sz w:val="24"/>
                      <w:szCs w:val="24"/>
                    </w:rPr>
                    <w:t>Datu agregācijas un izplatīšanas platformu (DAGR)</w:t>
                  </w:r>
                  <w:r w:rsidRPr="64AB79F5">
                    <w:rPr>
                      <w:rFonts w:ascii="Times New Roman" w:hAnsi="Times New Roman" w:cs="Times New Roman"/>
                      <w:sz w:val="24"/>
                      <w:szCs w:val="24"/>
                      <w:vertAlign w:val="superscript"/>
                    </w:rPr>
                    <w:t>1</w:t>
                  </w:r>
                  <w:r w:rsidRPr="64AB79F5">
                    <w:rPr>
                      <w:rFonts w:ascii="Times New Roman" w:hAnsi="Times New Roman" w:cs="Times New Roman"/>
                      <w:sz w:val="24"/>
                      <w:szCs w:val="24"/>
                    </w:rPr>
                    <w:t xml:space="preserve"> un </w:t>
                  </w:r>
                  <w:r w:rsidR="71CE6D7F" w:rsidRPr="64AB79F5">
                    <w:rPr>
                      <w:rFonts w:ascii="Times New Roman" w:hAnsi="Times New Roman" w:cs="Times New Roman"/>
                      <w:sz w:val="24"/>
                      <w:szCs w:val="24"/>
                    </w:rPr>
                    <w:t xml:space="preserve">e-veselības IS </w:t>
                  </w:r>
                  <w:r w:rsidRPr="64AB79F5">
                    <w:rPr>
                      <w:rFonts w:ascii="Times New Roman" w:hAnsi="Times New Roman" w:cs="Times New Roman"/>
                      <w:sz w:val="24"/>
                      <w:szCs w:val="24"/>
                    </w:rPr>
                    <w:t>citu datu izmantotāju datu apgādei, tādējādi iekļaujoties valsts veidotajā IKT koplietošanas un izplatīšanas arhitektūrā.</w:t>
                  </w:r>
                  <w:r w:rsidR="71CE6D7F" w:rsidRPr="64AB79F5">
                    <w:rPr>
                      <w:rFonts w:ascii="Times New Roman" w:hAnsi="Times New Roman" w:cs="Times New Roman"/>
                      <w:sz w:val="24"/>
                      <w:szCs w:val="24"/>
                    </w:rPr>
                    <w:t xml:space="preserve"> Lai nodrošinātu sistēmu savietojamību un ilgtermiņa IT arhitektūras vienotu pieeju un standartizāciju, datu apmaiņas ieviešanu koordinē un pārrauga LDVC, kura uzdevums ir attīstīt un efektīvi pārvaldīt veselības nozares </w:t>
                  </w:r>
                  <w:proofErr w:type="spellStart"/>
                  <w:r w:rsidR="71CE6D7F" w:rsidRPr="64AB79F5">
                    <w:rPr>
                      <w:rFonts w:ascii="Times New Roman" w:hAnsi="Times New Roman" w:cs="Times New Roman"/>
                      <w:sz w:val="24"/>
                      <w:szCs w:val="24"/>
                    </w:rPr>
                    <w:t>digitalizāciju</w:t>
                  </w:r>
                  <w:proofErr w:type="spellEnd"/>
                  <w:r w:rsidR="71CE6D7F" w:rsidRPr="64AB79F5">
                    <w:rPr>
                      <w:rFonts w:ascii="Times New Roman" w:hAnsi="Times New Roman" w:cs="Times New Roman"/>
                      <w:sz w:val="24"/>
                      <w:szCs w:val="24"/>
                    </w:rPr>
                    <w:t>, veicinot iesaistīto pušu sadarbību un radot nozarei nepieciešamos digitālās veselības pakalpojumus, kā arī nodrošināt veselības aprūpes IKT infrastruktūras pilnveidi un digitālo tehnoloģiju plašāku izmantošanu veselības aprūpē.</w:t>
                  </w:r>
                </w:p>
                <w:p w14:paraId="6672521E" w14:textId="202A1022"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Vienlaikus ar IKT risinājumu izveidi KUS tiks pārskatītas ārstniecības un aprūpes procedūras, lai panāktu, ka onkoloģijas pacientu ārstniecības un aprūpes datu apmaiņa starp KUS ir </w:t>
                  </w:r>
                  <w:proofErr w:type="spellStart"/>
                  <w:r w:rsidRPr="64AB79F5">
                    <w:rPr>
                      <w:rFonts w:ascii="Times New Roman" w:hAnsi="Times New Roman" w:cs="Times New Roman"/>
                      <w:sz w:val="24"/>
                      <w:szCs w:val="24"/>
                    </w:rPr>
                    <w:t>digitalizēta</w:t>
                  </w:r>
                  <w:proofErr w:type="spellEnd"/>
                  <w:r w:rsidRPr="64AB79F5">
                    <w:rPr>
                      <w:rFonts w:ascii="Times New Roman" w:hAnsi="Times New Roman" w:cs="Times New Roman"/>
                      <w:sz w:val="24"/>
                      <w:szCs w:val="24"/>
                    </w:rPr>
                    <w:t>.</w:t>
                  </w:r>
                </w:p>
                <w:p w14:paraId="4AC54488" w14:textId="6FB7855D"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Pacientu ieguvums būs </w:t>
                  </w:r>
                  <w:proofErr w:type="spellStart"/>
                  <w:r w:rsidRPr="64AB79F5">
                    <w:rPr>
                      <w:rFonts w:ascii="Times New Roman" w:hAnsi="Times New Roman" w:cs="Times New Roman"/>
                      <w:sz w:val="24"/>
                      <w:szCs w:val="24"/>
                    </w:rPr>
                    <w:t>digitalizēti</w:t>
                  </w:r>
                  <w:proofErr w:type="spellEnd"/>
                  <w:r w:rsidRPr="64AB79F5">
                    <w:rPr>
                      <w:rFonts w:ascii="Times New Roman" w:hAnsi="Times New Roman" w:cs="Times New Roman"/>
                      <w:sz w:val="24"/>
                      <w:szCs w:val="24"/>
                    </w:rPr>
                    <w:t xml:space="preserve"> onkoloģijas pacientu ārstniecības un aprūpes dati, </w:t>
                  </w:r>
                  <w:r w:rsidR="1DE08A30" w:rsidRPr="64AB79F5">
                    <w:rPr>
                      <w:rFonts w:ascii="Times New Roman" w:hAnsi="Times New Roman" w:cs="Times New Roman"/>
                      <w:sz w:val="24"/>
                      <w:szCs w:val="24"/>
                    </w:rPr>
                    <w:t xml:space="preserve">tai skaitā </w:t>
                  </w:r>
                  <w:r w:rsidRPr="64AB79F5">
                    <w:rPr>
                      <w:rFonts w:ascii="Times New Roman" w:hAnsi="Times New Roman" w:cs="Times New Roman"/>
                      <w:sz w:val="24"/>
                      <w:szCs w:val="24"/>
                    </w:rPr>
                    <w:t>elektroniski pieejami</w:t>
                  </w:r>
                  <w:r w:rsidR="32D698E1" w:rsidRPr="64AB79F5">
                    <w:rPr>
                      <w:rFonts w:ascii="Times New Roman" w:hAnsi="Times New Roman" w:cs="Times New Roman"/>
                      <w:sz w:val="24"/>
                      <w:szCs w:val="24"/>
                    </w:rPr>
                    <w:t xml:space="preserve"> gan aktuālie, gan vēsturiskie</w:t>
                  </w:r>
                  <w:r w:rsidR="58E01AD6" w:rsidRPr="64AB79F5">
                    <w:rPr>
                      <w:rFonts w:ascii="Times New Roman" w:hAnsi="Times New Roman" w:cs="Times New Roman"/>
                      <w:sz w:val="24"/>
                      <w:szCs w:val="24"/>
                    </w:rPr>
                    <w:t xml:space="preserve"> </w:t>
                  </w:r>
                  <w:r w:rsidRPr="64AB79F5">
                    <w:rPr>
                      <w:rFonts w:ascii="Times New Roman" w:hAnsi="Times New Roman" w:cs="Times New Roman"/>
                      <w:sz w:val="24"/>
                      <w:szCs w:val="24"/>
                    </w:rPr>
                    <w:t xml:space="preserve">izmeklējumi, datu aprite digitālā veidā starp KUS, kā arī to pieejamība pārējām ārstniecības iestādēm un dienestiem, KUS nodrošinot datu padošanu uz </w:t>
                  </w:r>
                  <w:r w:rsidR="4AA2678C" w:rsidRPr="64AB79F5">
                    <w:rPr>
                      <w:rFonts w:ascii="Times New Roman" w:hAnsi="Times New Roman" w:cs="Times New Roman"/>
                      <w:sz w:val="24"/>
                      <w:szCs w:val="24"/>
                    </w:rPr>
                    <w:t>e-veselību</w:t>
                  </w:r>
                  <w:r w:rsidRPr="64AB79F5">
                    <w:rPr>
                      <w:rFonts w:ascii="Times New Roman" w:hAnsi="Times New Roman" w:cs="Times New Roman"/>
                      <w:sz w:val="24"/>
                      <w:szCs w:val="24"/>
                    </w:rPr>
                    <w:t xml:space="preserve">, ko </w:t>
                  </w:r>
                  <w:r w:rsidR="71CE6D7F" w:rsidRPr="64AB79F5">
                    <w:rPr>
                      <w:rFonts w:ascii="Times New Roman" w:hAnsi="Times New Roman" w:cs="Times New Roman"/>
                      <w:sz w:val="24"/>
                      <w:szCs w:val="24"/>
                    </w:rPr>
                    <w:t>uztur LDVC</w:t>
                  </w:r>
                  <w:r w:rsidRPr="64AB79F5">
                    <w:rPr>
                      <w:rFonts w:ascii="Times New Roman" w:hAnsi="Times New Roman" w:cs="Times New Roman"/>
                      <w:sz w:val="24"/>
                      <w:szCs w:val="24"/>
                    </w:rPr>
                    <w:t>.</w:t>
                  </w:r>
                </w:p>
                <w:p w14:paraId="03D5C1B7" w14:textId="52EC7D0F" w:rsidR="001C3427" w:rsidRDefault="46B31033" w:rsidP="001C3427">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Vienot</w:t>
                  </w:r>
                  <w:r w:rsidR="25E3B06C" w:rsidRPr="64AB79F5">
                    <w:rPr>
                      <w:rFonts w:ascii="Times New Roman" w:hAnsi="Times New Roman" w:cs="Times New Roman"/>
                      <w:sz w:val="24"/>
                      <w:szCs w:val="24"/>
                    </w:rPr>
                    <w:t xml:space="preserve">a </w:t>
                  </w:r>
                  <w:r w:rsidR="11C33B37" w:rsidRPr="64AB79F5">
                    <w:rPr>
                      <w:rFonts w:ascii="Times New Roman" w:hAnsi="Times New Roman" w:cs="Times New Roman"/>
                      <w:sz w:val="24"/>
                      <w:szCs w:val="24"/>
                    </w:rPr>
                    <w:t xml:space="preserve"> </w:t>
                  </w:r>
                  <w:r w:rsidR="71CE6D7F" w:rsidRPr="64AB79F5">
                    <w:rPr>
                      <w:rFonts w:ascii="Times New Roman" w:hAnsi="Times New Roman" w:cs="Times New Roman"/>
                      <w:sz w:val="24"/>
                      <w:szCs w:val="24"/>
                    </w:rPr>
                    <w:t xml:space="preserve">risinājuma </w:t>
                  </w:r>
                  <w:r w:rsidR="11B50512" w:rsidRPr="64AB79F5">
                    <w:rPr>
                      <w:rFonts w:ascii="Times New Roman" w:hAnsi="Times New Roman" w:cs="Times New Roman"/>
                      <w:sz w:val="24"/>
                      <w:szCs w:val="24"/>
                    </w:rPr>
                    <w:t>onkoloģijas pacientu datu apm</w:t>
                  </w:r>
                  <w:r w:rsidR="6EA1BDB3" w:rsidRPr="64AB79F5">
                    <w:rPr>
                      <w:rFonts w:ascii="Times New Roman" w:hAnsi="Times New Roman" w:cs="Times New Roman"/>
                      <w:sz w:val="24"/>
                      <w:szCs w:val="24"/>
                    </w:rPr>
                    <w:t>a</w:t>
                  </w:r>
                  <w:r w:rsidR="11B50512" w:rsidRPr="64AB79F5">
                    <w:rPr>
                      <w:rFonts w:ascii="Times New Roman" w:hAnsi="Times New Roman" w:cs="Times New Roman"/>
                      <w:sz w:val="24"/>
                      <w:szCs w:val="24"/>
                    </w:rPr>
                    <w:t xml:space="preserve">iņai </w:t>
                  </w:r>
                  <w:r w:rsidR="11C33B37" w:rsidRPr="64AB79F5">
                    <w:rPr>
                      <w:rFonts w:ascii="Times New Roman" w:hAnsi="Times New Roman" w:cs="Times New Roman"/>
                      <w:sz w:val="24"/>
                      <w:szCs w:val="24"/>
                    </w:rPr>
                    <w:t>ieviešana</w:t>
                  </w:r>
                  <w:r w:rsidR="71CE6D7F" w:rsidRPr="64AB79F5">
                    <w:rPr>
                      <w:rFonts w:ascii="Times New Roman" w:hAnsi="Times New Roman" w:cs="Times New Roman"/>
                      <w:sz w:val="24"/>
                      <w:szCs w:val="24"/>
                    </w:rPr>
                    <w:t xml:space="preserve"> KUS</w:t>
                  </w:r>
                  <w:r w:rsidR="3FECD984" w:rsidRPr="64AB79F5">
                    <w:rPr>
                      <w:rFonts w:ascii="Times New Roman" w:hAnsi="Times New Roman" w:cs="Times New Roman"/>
                      <w:sz w:val="24"/>
                      <w:szCs w:val="24"/>
                    </w:rPr>
                    <w:t>, tai skaitā standartizētu procesu un procedūru ieviešana</w:t>
                  </w:r>
                  <w:r w:rsidR="71CE6D7F" w:rsidRPr="64AB79F5">
                    <w:rPr>
                      <w:rFonts w:ascii="Times New Roman" w:hAnsi="Times New Roman" w:cs="Times New Roman"/>
                      <w:sz w:val="24"/>
                      <w:szCs w:val="24"/>
                    </w:rPr>
                    <w:t xml:space="preserve">, </w:t>
                  </w:r>
                  <w:r w:rsidR="3FECD984" w:rsidRPr="64AB79F5">
                    <w:rPr>
                      <w:rFonts w:ascii="Times New Roman" w:hAnsi="Times New Roman" w:cs="Times New Roman"/>
                      <w:sz w:val="24"/>
                      <w:szCs w:val="24"/>
                    </w:rPr>
                    <w:t xml:space="preserve">efektīvas pārvaldības nodrošināšanai </w:t>
                  </w:r>
                  <w:r w:rsidR="71CE6D7F" w:rsidRPr="64AB79F5">
                    <w:rPr>
                      <w:rFonts w:ascii="Times New Roman" w:hAnsi="Times New Roman" w:cs="Times New Roman"/>
                      <w:sz w:val="24"/>
                      <w:szCs w:val="24"/>
                    </w:rPr>
                    <w:t xml:space="preserve">iesaistot LDVC, </w:t>
                  </w:r>
                  <w:r w:rsidR="35BF7C71" w:rsidRPr="64AB79F5">
                    <w:rPr>
                      <w:rFonts w:ascii="Times New Roman" w:hAnsi="Times New Roman" w:cs="Times New Roman"/>
                      <w:sz w:val="24"/>
                      <w:szCs w:val="24"/>
                    </w:rPr>
                    <w:t>tādējādi</w:t>
                  </w:r>
                  <w:r w:rsidR="71CE6D7F" w:rsidRPr="64AB79F5">
                    <w:rPr>
                      <w:rFonts w:ascii="Times New Roman" w:hAnsi="Times New Roman" w:cs="Times New Roman"/>
                      <w:sz w:val="24"/>
                      <w:szCs w:val="24"/>
                    </w:rPr>
                    <w:t xml:space="preserve"> samazin</w:t>
                  </w:r>
                  <w:r w:rsidR="024C6992" w:rsidRPr="64AB79F5">
                    <w:rPr>
                      <w:rFonts w:ascii="Times New Roman" w:hAnsi="Times New Roman" w:cs="Times New Roman"/>
                      <w:sz w:val="24"/>
                      <w:szCs w:val="24"/>
                    </w:rPr>
                    <w:t>ot</w:t>
                  </w:r>
                  <w:r w:rsidR="71CE6D7F" w:rsidRPr="64AB79F5">
                    <w:rPr>
                      <w:rFonts w:ascii="Times New Roman" w:hAnsi="Times New Roman" w:cs="Times New Roman"/>
                      <w:sz w:val="24"/>
                      <w:szCs w:val="24"/>
                    </w:rPr>
                    <w:t xml:space="preserve"> </w:t>
                  </w:r>
                  <w:r w:rsidR="3FECD984" w:rsidRPr="64AB79F5">
                    <w:rPr>
                      <w:rFonts w:ascii="Times New Roman" w:hAnsi="Times New Roman" w:cs="Times New Roman"/>
                      <w:sz w:val="24"/>
                      <w:szCs w:val="24"/>
                    </w:rPr>
                    <w:t xml:space="preserve">kopējās </w:t>
                  </w:r>
                  <w:r w:rsidR="71CE6D7F" w:rsidRPr="64AB79F5">
                    <w:rPr>
                      <w:rFonts w:ascii="Times New Roman" w:hAnsi="Times New Roman" w:cs="Times New Roman"/>
                      <w:sz w:val="24"/>
                      <w:szCs w:val="24"/>
                    </w:rPr>
                    <w:t>izmaksas un palieli</w:t>
                  </w:r>
                  <w:r w:rsidR="3FECD984" w:rsidRPr="64AB79F5">
                    <w:rPr>
                      <w:rFonts w:ascii="Times New Roman" w:hAnsi="Times New Roman" w:cs="Times New Roman"/>
                      <w:sz w:val="24"/>
                      <w:szCs w:val="24"/>
                    </w:rPr>
                    <w:t>n</w:t>
                  </w:r>
                  <w:r w:rsidR="5EB2F160" w:rsidRPr="64AB79F5">
                    <w:rPr>
                      <w:rFonts w:ascii="Times New Roman" w:hAnsi="Times New Roman" w:cs="Times New Roman"/>
                      <w:sz w:val="24"/>
                      <w:szCs w:val="24"/>
                    </w:rPr>
                    <w:t>ot</w:t>
                  </w:r>
                  <w:r w:rsidR="71CE6D7F" w:rsidRPr="64AB79F5">
                    <w:rPr>
                      <w:rFonts w:ascii="Times New Roman" w:hAnsi="Times New Roman" w:cs="Times New Roman"/>
                      <w:sz w:val="24"/>
                      <w:szCs w:val="24"/>
                    </w:rPr>
                    <w:t xml:space="preserve"> efektivitāti, </w:t>
                  </w:r>
                  <w:r w:rsidR="32E8990C" w:rsidRPr="64AB79F5">
                    <w:rPr>
                      <w:rFonts w:ascii="Times New Roman" w:hAnsi="Times New Roman" w:cs="Times New Roman"/>
                      <w:sz w:val="24"/>
                      <w:szCs w:val="24"/>
                    </w:rPr>
                    <w:t>kā arī</w:t>
                  </w:r>
                  <w:r w:rsidR="71CE6D7F" w:rsidRPr="64AB79F5">
                    <w:rPr>
                      <w:rFonts w:ascii="Times New Roman" w:hAnsi="Times New Roman" w:cs="Times New Roman"/>
                      <w:sz w:val="24"/>
                      <w:szCs w:val="24"/>
                    </w:rPr>
                    <w:t xml:space="preserve"> veicin</w:t>
                  </w:r>
                  <w:r w:rsidR="706684D1" w:rsidRPr="64AB79F5">
                    <w:rPr>
                      <w:rFonts w:ascii="Times New Roman" w:hAnsi="Times New Roman" w:cs="Times New Roman"/>
                      <w:sz w:val="24"/>
                      <w:szCs w:val="24"/>
                    </w:rPr>
                    <w:t>ot</w:t>
                  </w:r>
                  <w:r w:rsidR="71CE6D7F" w:rsidRPr="64AB79F5">
                    <w:rPr>
                      <w:rFonts w:ascii="Times New Roman" w:hAnsi="Times New Roman" w:cs="Times New Roman"/>
                      <w:sz w:val="24"/>
                      <w:szCs w:val="24"/>
                    </w:rPr>
                    <w:t xml:space="preserve"> inovācij</w:t>
                  </w:r>
                  <w:r w:rsidR="32E8990C" w:rsidRPr="64AB79F5">
                    <w:rPr>
                      <w:rFonts w:ascii="Times New Roman" w:hAnsi="Times New Roman" w:cs="Times New Roman"/>
                      <w:sz w:val="24"/>
                      <w:szCs w:val="24"/>
                    </w:rPr>
                    <w:t>as</w:t>
                  </w:r>
                  <w:r w:rsidR="71CE6D7F" w:rsidRPr="64AB79F5">
                    <w:rPr>
                      <w:rFonts w:ascii="Times New Roman" w:hAnsi="Times New Roman" w:cs="Times New Roman"/>
                      <w:sz w:val="24"/>
                      <w:szCs w:val="24"/>
                    </w:rPr>
                    <w:t xml:space="preserve"> veselības nozarē. </w:t>
                  </w:r>
                </w:p>
                <w:p w14:paraId="0CE2E402" w14:textId="54751F42"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Lai nodrošinātu </w:t>
                  </w:r>
                  <w:r w:rsidR="71CE6D7F" w:rsidRPr="64AB79F5">
                    <w:rPr>
                      <w:rFonts w:ascii="Times New Roman" w:hAnsi="Times New Roman" w:cs="Times New Roman"/>
                      <w:sz w:val="24"/>
                      <w:szCs w:val="24"/>
                    </w:rPr>
                    <w:t>datu apriti strukturētā veidā starp ārstniecības iestādēm</w:t>
                  </w:r>
                  <w:r w:rsidRPr="64AB79F5">
                    <w:rPr>
                      <w:rFonts w:ascii="Times New Roman" w:hAnsi="Times New Roman" w:cs="Times New Roman"/>
                      <w:sz w:val="24"/>
                      <w:szCs w:val="24"/>
                      <w:vertAlign w:val="superscript"/>
                    </w:rPr>
                    <w:t>2</w:t>
                  </w:r>
                  <w:r w:rsidRPr="64AB79F5">
                    <w:rPr>
                      <w:rFonts w:ascii="Times New Roman" w:hAnsi="Times New Roman" w:cs="Times New Roman"/>
                      <w:sz w:val="24"/>
                      <w:szCs w:val="24"/>
                    </w:rPr>
                    <w:t xml:space="preserve">, projekta ietvaros tiks </w:t>
                  </w:r>
                  <w:r w:rsidR="6807CDE3" w:rsidRPr="64AB79F5">
                    <w:rPr>
                      <w:rFonts w:ascii="Times New Roman" w:hAnsi="Times New Roman" w:cs="Times New Roman"/>
                      <w:sz w:val="24"/>
                      <w:szCs w:val="24"/>
                    </w:rPr>
                    <w:t xml:space="preserve"> izstrādāti </w:t>
                  </w:r>
                  <w:r w:rsidR="3589B489" w:rsidRPr="64AB79F5">
                    <w:rPr>
                      <w:rFonts w:ascii="Times New Roman" w:hAnsi="Times New Roman" w:cs="Times New Roman"/>
                      <w:sz w:val="24"/>
                      <w:szCs w:val="24"/>
                    </w:rPr>
                    <w:t xml:space="preserve">un papildināti </w:t>
                  </w:r>
                  <w:r w:rsidRPr="64AB79F5">
                    <w:rPr>
                      <w:rFonts w:ascii="Times New Roman" w:hAnsi="Times New Roman" w:cs="Times New Roman"/>
                      <w:sz w:val="24"/>
                      <w:szCs w:val="24"/>
                    </w:rPr>
                    <w:t>vairāk</w:t>
                  </w:r>
                  <w:r w:rsidR="2DD198BF" w:rsidRPr="64AB79F5">
                    <w:rPr>
                      <w:rFonts w:ascii="Times New Roman" w:hAnsi="Times New Roman" w:cs="Times New Roman"/>
                      <w:sz w:val="24"/>
                      <w:szCs w:val="24"/>
                    </w:rPr>
                    <w:t>i</w:t>
                  </w:r>
                  <w:r w:rsidRPr="64AB79F5">
                    <w:rPr>
                      <w:rFonts w:ascii="Times New Roman" w:hAnsi="Times New Roman" w:cs="Times New Roman"/>
                      <w:sz w:val="24"/>
                      <w:szCs w:val="24"/>
                    </w:rPr>
                    <w:t xml:space="preserve"> </w:t>
                  </w:r>
                  <w:r w:rsidRPr="64AB79F5">
                    <w:rPr>
                      <w:rFonts w:ascii="Times New Roman" w:hAnsi="Times New Roman" w:cs="Times New Roman"/>
                      <w:sz w:val="24"/>
                      <w:szCs w:val="24"/>
                    </w:rPr>
                    <w:lastRenderedPageBreak/>
                    <w:t>KUS IKT . Atsevišķiem risinājumiem uzlabojumi tiks veikti centralizēti</w:t>
                  </w:r>
                  <w:r w:rsidR="6CE3B7FD" w:rsidRPr="64AB79F5">
                    <w:rPr>
                      <w:rFonts w:ascii="Times New Roman" w:hAnsi="Times New Roman" w:cs="Times New Roman"/>
                      <w:sz w:val="24"/>
                      <w:szCs w:val="24"/>
                    </w:rPr>
                    <w:t>.</w:t>
                  </w:r>
                </w:p>
              </w:tc>
            </w:tr>
            <w:tr w:rsidR="00F72E46" w:rsidRPr="00F72E46" w14:paraId="74E1974D"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1C62DCBE" w14:textId="0CC75E15" w:rsidR="003A0C1A" w:rsidRPr="00F72E46" w:rsidRDefault="003A0C1A"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lastRenderedPageBreak/>
                    <w:t>3.2. Projekta pamatojums (aktualitāte/nepieciešamība/</w:t>
                  </w:r>
                  <w:r w:rsidRPr="00F72E46">
                    <w:rPr>
                      <w:rFonts w:ascii="Times New Roman" w:hAnsi="Times New Roman" w:cs="Times New Roman"/>
                      <w:sz w:val="24"/>
                      <w:szCs w:val="24"/>
                    </w:rPr>
                    <w:br/>
                    <w:t>risināmā problēma)</w:t>
                  </w:r>
                </w:p>
              </w:tc>
              <w:tc>
                <w:tcPr>
                  <w:tcW w:w="3500" w:type="pct"/>
                  <w:gridSpan w:val="3"/>
                  <w:tcBorders>
                    <w:top w:val="outset" w:sz="6" w:space="0" w:color="414142"/>
                    <w:left w:val="outset" w:sz="6" w:space="0" w:color="414142"/>
                    <w:bottom w:val="outset" w:sz="6" w:space="0" w:color="414142"/>
                    <w:right w:val="outset" w:sz="6" w:space="0" w:color="414142"/>
                  </w:tcBorders>
                  <w:hideMark/>
                </w:tcPr>
                <w:p w14:paraId="17BB217E" w14:textId="145F88E2"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Projektā tiks risināta problēma, ka KUS savstarpēji nav pieejami </w:t>
                  </w:r>
                  <w:r w:rsidR="003519DF" w:rsidRPr="00F72E46">
                    <w:rPr>
                      <w:rFonts w:ascii="Times New Roman" w:hAnsi="Times New Roman" w:cs="Times New Roman"/>
                      <w:sz w:val="24"/>
                      <w:szCs w:val="24"/>
                    </w:rPr>
                    <w:t xml:space="preserve">gan </w:t>
                  </w:r>
                  <w:r w:rsidRPr="00F72E46">
                    <w:rPr>
                      <w:rFonts w:ascii="Times New Roman" w:hAnsi="Times New Roman" w:cs="Times New Roman"/>
                      <w:sz w:val="24"/>
                      <w:szCs w:val="24"/>
                    </w:rPr>
                    <w:t>operatīvie</w:t>
                  </w:r>
                  <w:r w:rsidR="003519DF" w:rsidRPr="00F72E46">
                    <w:rPr>
                      <w:rFonts w:ascii="Times New Roman" w:hAnsi="Times New Roman" w:cs="Times New Roman"/>
                      <w:sz w:val="24"/>
                      <w:szCs w:val="24"/>
                    </w:rPr>
                    <w:t>, gan vēsturiskie</w:t>
                  </w:r>
                  <w:r w:rsidRPr="00F72E46">
                    <w:rPr>
                      <w:rFonts w:ascii="Times New Roman" w:hAnsi="Times New Roman" w:cs="Times New Roman"/>
                      <w:sz w:val="24"/>
                      <w:szCs w:val="24"/>
                    </w:rPr>
                    <w:t xml:space="preserve"> ārstniecības un aprūpes dati (tai skaitā klīniskie un izmeklējumu dati) par onkoloģijas pacientiem.</w:t>
                  </w:r>
                </w:p>
                <w:p w14:paraId="0100A8A8" w14:textId="692E4195"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Pilngadību sasniegušajiem pacientiem onkoloģijas pacientu aprūpes process pamatā tiek nodrošināts RAKUS</w:t>
                  </w:r>
                  <w:r w:rsidR="71CE6D7F" w:rsidRPr="64AB79F5">
                    <w:rPr>
                      <w:rFonts w:ascii="Times New Roman" w:hAnsi="Times New Roman" w:cs="Times New Roman"/>
                      <w:sz w:val="24"/>
                      <w:szCs w:val="24"/>
                    </w:rPr>
                    <w:t xml:space="preserve"> un PSKUS</w:t>
                  </w:r>
                  <w:r w:rsidRPr="64AB79F5">
                    <w:rPr>
                      <w:rFonts w:ascii="Times New Roman" w:hAnsi="Times New Roman" w:cs="Times New Roman"/>
                      <w:sz w:val="24"/>
                      <w:szCs w:val="24"/>
                    </w:rPr>
                    <w:t>, bet BKUS nodrošina minēto procesu to pacientu grupai, kuri vēl nav sasnieguši pilngadību. Daļa pacientu pēc pilngadības sasniegšanas turpina savu ārstēšanās procesu RAKUS vai PSKUS. Onkoloģijas pacientu ārstniecības process sastāv no vairākām daļām, un tā ietvaros pacientam tiek nodrošināti dažādi diagnostikas un ārstniecības pakalpojumi, kuru pieejamību kopumā valstī plāno NVD, bet nodrošina dažādi pakalpojumu sniedzēji (tai skaitā dažādas KUS, arī bērniem līdz 18 gadiem).</w:t>
                  </w:r>
                </w:p>
                <w:p w14:paraId="1152EC4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Onkoloģijas pacienta ārstniecībai jābūt nodrošinātai iekļaujošā veidā, lai nepasliktinātu pacienta stāvokli un pacientam būtu iespēja laikus saņemt nepieciešamos pakalpojumus.</w:t>
                  </w:r>
                </w:p>
                <w:p w14:paraId="353E4E6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Šobrīd ārstniecības un aprūpes pakalpojumu rezultāti KUS tiek uzkrāti gan elektroniskā veidā, gan papīra formā pie katra pakalpojumu sniedzēja individuāli veidotā pieejā, līdz ar to uzraugošajiem ārstiem ir ļoti sarežģīti pārvaldīt pacienta ārstēšanas procesu KUS un ārstniecības procesa nodrošinātājiem ir laikietilpīgi iegūt datus, kas raksturo pacienta stāvokli un ārstniecības gaitu konkrētajā laika sprīdī.</w:t>
                  </w:r>
                </w:p>
                <w:p w14:paraId="3253CEFB"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Kopējo šobrīd manuāli vai daļēji digitāli apstrādājamo datu apjomu onkoloģijas jomā raksturo šādi skaitļi:</w:t>
                  </w:r>
                </w:p>
                <w:p w14:paraId="54383C6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kopējais ambulatoro onkoloģijas pacientu ārstniecības epizožu skaits RAKUS – 201 500, BKUS – 3000;</w:t>
                  </w:r>
                </w:p>
                <w:p w14:paraId="0C72FD8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kopējais onkoloģijas pacientu stacionāro ārstniecības epizožu skaits RAKUS – 32 500, BKUS – 900, PSKUS – 2200.</w:t>
                  </w:r>
                </w:p>
                <w:p w14:paraId="3273D5D7" w14:textId="42704B84"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Lai šo procesu uzlabotu, </w:t>
                  </w:r>
                  <w:r w:rsidR="35825BD9" w:rsidRPr="64AB79F5">
                    <w:rPr>
                      <w:rFonts w:ascii="Times New Roman" w:hAnsi="Times New Roman" w:cs="Times New Roman"/>
                      <w:sz w:val="24"/>
                      <w:szCs w:val="24"/>
                    </w:rPr>
                    <w:t>NVD</w:t>
                  </w:r>
                  <w:r w:rsidR="71CE6D7F" w:rsidRPr="64AB79F5">
                    <w:rPr>
                      <w:rFonts w:ascii="Times New Roman" w:hAnsi="Times New Roman" w:cs="Times New Roman"/>
                      <w:sz w:val="24"/>
                      <w:szCs w:val="24"/>
                    </w:rPr>
                    <w:t xml:space="preserve"> </w:t>
                  </w:r>
                  <w:r w:rsidR="0DE2E8B2" w:rsidRPr="64AB79F5">
                    <w:rPr>
                      <w:rFonts w:ascii="Times New Roman" w:hAnsi="Times New Roman" w:cs="Times New Roman"/>
                      <w:sz w:val="24"/>
                      <w:szCs w:val="24"/>
                    </w:rPr>
                    <w:t>iz</w:t>
                  </w:r>
                  <w:r w:rsidR="0B4FF2E5" w:rsidRPr="64AB79F5">
                    <w:rPr>
                      <w:rFonts w:ascii="Times New Roman" w:hAnsi="Times New Roman" w:cs="Times New Roman"/>
                      <w:sz w:val="24"/>
                      <w:szCs w:val="24"/>
                    </w:rPr>
                    <w:t>s</w:t>
                  </w:r>
                  <w:r w:rsidR="0DE2E8B2" w:rsidRPr="64AB79F5">
                    <w:rPr>
                      <w:rFonts w:ascii="Times New Roman" w:hAnsi="Times New Roman" w:cs="Times New Roman"/>
                      <w:sz w:val="24"/>
                      <w:szCs w:val="24"/>
                    </w:rPr>
                    <w:t>trādājis</w:t>
                  </w:r>
                  <w:r w:rsidRPr="64AB79F5">
                    <w:rPr>
                      <w:rFonts w:ascii="Times New Roman" w:hAnsi="Times New Roman" w:cs="Times New Roman"/>
                      <w:sz w:val="24"/>
                      <w:szCs w:val="24"/>
                    </w:rPr>
                    <w:t xml:space="preserve"> </w:t>
                  </w:r>
                  <w:r w:rsidR="56FCCCD0" w:rsidRPr="64AB79F5">
                    <w:rPr>
                      <w:rFonts w:ascii="Times New Roman" w:hAnsi="Times New Roman" w:cs="Times New Roman"/>
                      <w:sz w:val="24"/>
                      <w:szCs w:val="24"/>
                    </w:rPr>
                    <w:t>Populācijas vēža reģistr</w:t>
                  </w:r>
                  <w:r w:rsidR="0BBE7A6B" w:rsidRPr="64AB79F5">
                    <w:rPr>
                      <w:rFonts w:ascii="Times New Roman" w:hAnsi="Times New Roman" w:cs="Times New Roman"/>
                      <w:sz w:val="24"/>
                      <w:szCs w:val="24"/>
                    </w:rPr>
                    <w:t>u,</w:t>
                  </w:r>
                  <w:r w:rsidRPr="64AB79F5">
                    <w:rPr>
                      <w:rFonts w:ascii="Times New Roman" w:hAnsi="Times New Roman" w:cs="Times New Roman"/>
                      <w:sz w:val="24"/>
                      <w:szCs w:val="24"/>
                    </w:rPr>
                    <w:t xml:space="preserve">  kas nodrošin</w:t>
                  </w:r>
                  <w:r w:rsidR="658B2E0F" w:rsidRPr="64AB79F5">
                    <w:rPr>
                      <w:rFonts w:ascii="Times New Roman" w:hAnsi="Times New Roman" w:cs="Times New Roman"/>
                      <w:sz w:val="24"/>
                      <w:szCs w:val="24"/>
                    </w:rPr>
                    <w:t>a</w:t>
                  </w:r>
                  <w:r w:rsidRPr="64AB79F5">
                    <w:rPr>
                      <w:rFonts w:ascii="Times New Roman" w:hAnsi="Times New Roman" w:cs="Times New Roman"/>
                      <w:sz w:val="24"/>
                      <w:szCs w:val="24"/>
                    </w:rPr>
                    <w:t xml:space="preserve"> koplietošanas klasifikatoru uzturēšanu (ICD-10, ICD-O-3.2, TNM u. c.), ārstniecības sniegto pakalpojumu pamatdatus, pamatdatus par pacientu</w:t>
                  </w:r>
                  <w:r w:rsidR="0B53B987" w:rsidRPr="64AB79F5">
                    <w:rPr>
                      <w:rFonts w:ascii="Times New Roman" w:hAnsi="Times New Roman" w:cs="Times New Roman"/>
                      <w:sz w:val="24"/>
                      <w:szCs w:val="24"/>
                    </w:rPr>
                    <w:t xml:space="preserve">, kā arī turpina </w:t>
                  </w:r>
                  <w:r w:rsidR="71CE6D7F" w:rsidRPr="64AB79F5">
                    <w:rPr>
                      <w:rFonts w:ascii="Times New Roman" w:hAnsi="Times New Roman" w:cs="Times New Roman"/>
                      <w:sz w:val="24"/>
                      <w:szCs w:val="24"/>
                    </w:rPr>
                    <w:t xml:space="preserve">e-veselības IS </w:t>
                  </w:r>
                  <w:r w:rsidR="0B53B987" w:rsidRPr="64AB79F5">
                    <w:rPr>
                      <w:rFonts w:ascii="Times New Roman" w:hAnsi="Times New Roman" w:cs="Times New Roman"/>
                      <w:sz w:val="24"/>
                      <w:szCs w:val="24"/>
                    </w:rPr>
                    <w:t>funkcionalitātes attīstīšanu</w:t>
                  </w:r>
                  <w:r w:rsidRPr="64AB79F5">
                    <w:rPr>
                      <w:rFonts w:ascii="Times New Roman" w:hAnsi="Times New Roman" w:cs="Times New Roman"/>
                      <w:sz w:val="24"/>
                      <w:szCs w:val="24"/>
                    </w:rPr>
                    <w:t xml:space="preserve">. </w:t>
                  </w:r>
                </w:p>
                <w:p w14:paraId="20DF77BE" w14:textId="790654E1"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Šā projekta ietvaros tiks izveidots vienots modelis datu apmaiņai par onkoloģijas pacienta ārstēšanas procesu KUS tādā apjomā, lai onkoloģijas ārstniecības profesionāļi varētu saņemt pilnu notikumu detalizāciju</w:t>
                  </w:r>
                  <w:r w:rsidR="7C0B5DE8" w:rsidRPr="64AB79F5">
                    <w:rPr>
                      <w:rFonts w:ascii="Times New Roman" w:hAnsi="Times New Roman" w:cs="Times New Roman"/>
                      <w:sz w:val="24"/>
                      <w:szCs w:val="24"/>
                    </w:rPr>
                    <w:t xml:space="preserve">, tai skaitā </w:t>
                  </w:r>
                  <w:r w:rsidRPr="64AB79F5">
                    <w:rPr>
                      <w:rFonts w:ascii="Times New Roman" w:hAnsi="Times New Roman" w:cs="Times New Roman"/>
                      <w:sz w:val="24"/>
                      <w:szCs w:val="24"/>
                    </w:rPr>
                    <w:t>savu pakalpojumu rezultātus. Datu apmaiņa</w:t>
                  </w:r>
                  <w:r w:rsidR="71CE6D7F" w:rsidRPr="64AB79F5">
                    <w:rPr>
                      <w:rFonts w:ascii="Times New Roman" w:hAnsi="Times New Roman" w:cs="Times New Roman"/>
                      <w:sz w:val="24"/>
                      <w:szCs w:val="24"/>
                    </w:rPr>
                    <w:t xml:space="preserve"> starp KUS sistēmām </w:t>
                  </w:r>
                  <w:r w:rsidRPr="64AB79F5">
                    <w:rPr>
                      <w:rFonts w:ascii="Times New Roman" w:hAnsi="Times New Roman" w:cs="Times New Roman"/>
                      <w:sz w:val="24"/>
                      <w:szCs w:val="24"/>
                    </w:rPr>
                    <w:t xml:space="preserve">tiks </w:t>
                  </w:r>
                  <w:r w:rsidR="71CE6D7F" w:rsidRPr="64AB79F5">
                    <w:rPr>
                      <w:rFonts w:ascii="Times New Roman" w:hAnsi="Times New Roman" w:cs="Times New Roman"/>
                      <w:sz w:val="24"/>
                      <w:szCs w:val="24"/>
                    </w:rPr>
                    <w:t xml:space="preserve">organizēta, tajā skaitā </w:t>
                  </w:r>
                  <w:r w:rsidRPr="64AB79F5">
                    <w:rPr>
                      <w:rFonts w:ascii="Times New Roman" w:hAnsi="Times New Roman" w:cs="Times New Roman"/>
                      <w:sz w:val="24"/>
                      <w:szCs w:val="24"/>
                    </w:rPr>
                    <w:t>izmanto</w:t>
                  </w:r>
                  <w:r w:rsidR="71CE6D7F" w:rsidRPr="64AB79F5">
                    <w:rPr>
                      <w:rFonts w:ascii="Times New Roman" w:hAnsi="Times New Roman" w:cs="Times New Roman"/>
                      <w:sz w:val="24"/>
                      <w:szCs w:val="24"/>
                    </w:rPr>
                    <w:t>jot</w:t>
                  </w:r>
                  <w:r w:rsidRPr="64AB79F5">
                    <w:rPr>
                      <w:rFonts w:ascii="Times New Roman" w:hAnsi="Times New Roman" w:cs="Times New Roman"/>
                      <w:sz w:val="24"/>
                      <w:szCs w:val="24"/>
                    </w:rPr>
                    <w:t xml:space="preserve"> DAGR un </w:t>
                  </w:r>
                  <w:r w:rsidR="71CE6D7F" w:rsidRPr="64AB79F5">
                    <w:rPr>
                      <w:rFonts w:ascii="Times New Roman" w:hAnsi="Times New Roman" w:cs="Times New Roman"/>
                      <w:sz w:val="24"/>
                      <w:szCs w:val="24"/>
                    </w:rPr>
                    <w:t xml:space="preserve">e-veselības IS </w:t>
                  </w:r>
                  <w:r w:rsidRPr="64AB79F5">
                    <w:rPr>
                      <w:rFonts w:ascii="Times New Roman" w:hAnsi="Times New Roman" w:cs="Times New Roman"/>
                      <w:sz w:val="24"/>
                      <w:szCs w:val="24"/>
                    </w:rPr>
                    <w:t>iespējas.</w:t>
                  </w:r>
                </w:p>
                <w:p w14:paraId="3801774F" w14:textId="72E334FA"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Onkoloģijas pacientu datu apmaiņas platformas vadošās slimnīcas ir RAKUS, PSKUS un BKUS, un šo slimnīcu biznesa sistēmas ir tās, kas nodrošinās platformas apgādi ar faktiskajiem datiem. Šī vajadzība arī tiks īstenota projekta gaitā, veicot atbilstošu pielāgojumu esošajām KUS IS.</w:t>
                  </w:r>
                </w:p>
                <w:p w14:paraId="2B4AEFE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Atbilstoši Ministru kabineta 2022. gada 14. jūlija noteikumu Nr. 435 "Eiropas Savienības Atveseļošanas un noturības mehānisma plāna 2. komponentes "Digitālā transformācija" 2.1. reformu un </w:t>
                  </w:r>
                  <w:r w:rsidRPr="00F72E46">
                    <w:rPr>
                      <w:rFonts w:ascii="Times New Roman" w:hAnsi="Times New Roman" w:cs="Times New Roman"/>
                      <w:sz w:val="24"/>
                      <w:szCs w:val="24"/>
                    </w:rPr>
                    <w:lastRenderedPageBreak/>
                    <w:t>investīciju virziena "Valsts pārvaldes, tai skaitā pašvaldību, digitālā transformācija" īstenošanas noteikumi" 4. pielikumam projekts tiks īstenots 2.1.3.1. nolūka "Ārstniecības iestāžu procesu digitālā transformācija un ārstniecības procesā radīto datu pārvaldība" ietvaros</w:t>
                  </w:r>
                </w:p>
              </w:tc>
            </w:tr>
            <w:tr w:rsidR="00F72E46" w:rsidRPr="00F72E46" w14:paraId="023601E3" w14:textId="77777777" w:rsidTr="64AB79F5">
              <w:tc>
                <w:tcPr>
                  <w:tcW w:w="1500" w:type="pct"/>
                  <w:tcBorders>
                    <w:top w:val="outset" w:sz="6" w:space="0" w:color="414142"/>
                    <w:left w:val="outset" w:sz="6" w:space="0" w:color="414142"/>
                    <w:bottom w:val="outset" w:sz="6" w:space="0" w:color="414142"/>
                    <w:right w:val="outset" w:sz="6" w:space="0" w:color="414142"/>
                  </w:tcBorders>
                  <w:vAlign w:val="center"/>
                  <w:hideMark/>
                </w:tcPr>
                <w:p w14:paraId="0D765BE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lastRenderedPageBreak/>
                    <w:t>3.3. Projekta ieguvumi</w:t>
                  </w:r>
                  <w:r w:rsidRPr="00F72E46">
                    <w:rPr>
                      <w:rFonts w:ascii="Times New Roman" w:hAnsi="Times New Roman" w:cs="Times New Roman"/>
                      <w:sz w:val="24"/>
                      <w:szCs w:val="24"/>
                      <w:vertAlign w:val="superscript"/>
                    </w:rPr>
                    <w:t>3</w:t>
                  </w:r>
                </w:p>
              </w:tc>
              <w:tc>
                <w:tcPr>
                  <w:tcW w:w="1950" w:type="pct"/>
                  <w:tcBorders>
                    <w:top w:val="outset" w:sz="6" w:space="0" w:color="414142"/>
                    <w:left w:val="outset" w:sz="6" w:space="0" w:color="414142"/>
                    <w:bottom w:val="outset" w:sz="6" w:space="0" w:color="414142"/>
                    <w:right w:val="outset" w:sz="6" w:space="0" w:color="414142"/>
                  </w:tcBorders>
                  <w:vAlign w:val="center"/>
                  <w:hideMark/>
                </w:tcPr>
                <w:p w14:paraId="10AFD12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Ieguvuma mērīšanas vai verificēšanas metode un mērāmais rādītājs</w:t>
                  </w:r>
                  <w:r w:rsidRPr="00F72E46">
                    <w:rPr>
                      <w:rFonts w:ascii="Times New Roman" w:hAnsi="Times New Roman" w:cs="Times New Roman"/>
                      <w:sz w:val="24"/>
                      <w:szCs w:val="24"/>
                      <w:vertAlign w:val="superscript"/>
                    </w:rPr>
                    <w:t>4</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43F6CBA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Vērtība</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6DEEEE3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Sasniegšanas laiks (gads)</w:t>
                  </w:r>
                </w:p>
              </w:tc>
            </w:tr>
            <w:tr w:rsidR="00F72E46" w:rsidRPr="00F72E46" w14:paraId="334CB4D2"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6CF31AA2" w14:textId="77777777" w:rsidR="003A0C1A" w:rsidRPr="00F72E46" w:rsidRDefault="003A0C1A"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3.3.1. Ieguvums slimnīcām – datu apmaiņas ātrums, kvalitāte</w:t>
                  </w:r>
                </w:p>
              </w:tc>
              <w:tc>
                <w:tcPr>
                  <w:tcW w:w="1950" w:type="pct"/>
                  <w:tcBorders>
                    <w:top w:val="outset" w:sz="6" w:space="0" w:color="414142"/>
                    <w:left w:val="outset" w:sz="6" w:space="0" w:color="414142"/>
                    <w:bottom w:val="outset" w:sz="6" w:space="0" w:color="414142"/>
                    <w:right w:val="outset" w:sz="6" w:space="0" w:color="414142"/>
                  </w:tcBorders>
                  <w:hideMark/>
                </w:tcPr>
                <w:p w14:paraId="4551A96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Speciālisti, kas strādā vienotā informācijas telpā (pašlaik – 0)</w:t>
                  </w:r>
                </w:p>
              </w:tc>
              <w:tc>
                <w:tcPr>
                  <w:tcW w:w="800" w:type="pct"/>
                  <w:tcBorders>
                    <w:top w:val="outset" w:sz="6" w:space="0" w:color="414142"/>
                    <w:left w:val="outset" w:sz="6" w:space="0" w:color="414142"/>
                    <w:bottom w:val="outset" w:sz="6" w:space="0" w:color="414142"/>
                    <w:right w:val="outset" w:sz="6" w:space="0" w:color="414142"/>
                  </w:tcBorders>
                  <w:hideMark/>
                </w:tcPr>
                <w:p w14:paraId="68DC71D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360</w:t>
                  </w:r>
                </w:p>
              </w:tc>
              <w:tc>
                <w:tcPr>
                  <w:tcW w:w="800" w:type="pct"/>
                  <w:tcBorders>
                    <w:top w:val="outset" w:sz="6" w:space="0" w:color="414142"/>
                    <w:left w:val="outset" w:sz="6" w:space="0" w:color="414142"/>
                    <w:bottom w:val="outset" w:sz="6" w:space="0" w:color="414142"/>
                    <w:right w:val="outset" w:sz="6" w:space="0" w:color="414142"/>
                  </w:tcBorders>
                  <w:hideMark/>
                </w:tcPr>
                <w:p w14:paraId="6C0913E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r w:rsidR="00F72E46" w:rsidRPr="00F72E46" w14:paraId="74173E2A"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20C1AF89" w14:textId="77777777" w:rsidR="003A0C1A" w:rsidRPr="00F72E46" w:rsidRDefault="003A0C1A"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3.3.2. Ieguvums slimnīcām – efektīvāka datu apmaiņa, pieejamība</w:t>
                  </w:r>
                </w:p>
              </w:tc>
              <w:tc>
                <w:tcPr>
                  <w:tcW w:w="1950" w:type="pct"/>
                  <w:tcBorders>
                    <w:top w:val="outset" w:sz="6" w:space="0" w:color="414142"/>
                    <w:left w:val="outset" w:sz="6" w:space="0" w:color="414142"/>
                    <w:bottom w:val="outset" w:sz="6" w:space="0" w:color="414142"/>
                    <w:right w:val="outset" w:sz="6" w:space="0" w:color="414142"/>
                  </w:tcBorders>
                  <w:hideMark/>
                </w:tcPr>
                <w:p w14:paraId="4177ED0B"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Iestādes, kas koplieto vienoto informācijas telpu</w:t>
                  </w:r>
                </w:p>
              </w:tc>
              <w:tc>
                <w:tcPr>
                  <w:tcW w:w="800" w:type="pct"/>
                  <w:tcBorders>
                    <w:top w:val="outset" w:sz="6" w:space="0" w:color="414142"/>
                    <w:left w:val="outset" w:sz="6" w:space="0" w:color="414142"/>
                    <w:bottom w:val="outset" w:sz="6" w:space="0" w:color="414142"/>
                    <w:right w:val="outset" w:sz="6" w:space="0" w:color="414142"/>
                  </w:tcBorders>
                  <w:hideMark/>
                </w:tcPr>
                <w:p w14:paraId="30CD836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w:t>
                  </w:r>
                </w:p>
              </w:tc>
              <w:tc>
                <w:tcPr>
                  <w:tcW w:w="800" w:type="pct"/>
                  <w:tcBorders>
                    <w:top w:val="outset" w:sz="6" w:space="0" w:color="414142"/>
                    <w:left w:val="outset" w:sz="6" w:space="0" w:color="414142"/>
                    <w:bottom w:val="outset" w:sz="6" w:space="0" w:color="414142"/>
                    <w:right w:val="outset" w:sz="6" w:space="0" w:color="414142"/>
                  </w:tcBorders>
                  <w:hideMark/>
                </w:tcPr>
                <w:p w14:paraId="57370066"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r w:rsidR="00F72E46" w:rsidRPr="00F72E46" w14:paraId="290D315C"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3AB8CDCA" w14:textId="77777777" w:rsidR="003A0C1A" w:rsidRPr="00F72E46" w:rsidRDefault="003A0C1A"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3.3.3. Ieguvums pacientiem – pacientu datu pieejamība pēc katras ambulatorās ārstniecības un aprūpes epizodes, datu pieejamība ārstniecības un aprūpes procesa nepārtrauktībai un kvalitatīvu ārstniecības un aprūpes lēmumu pieņemšanai. Tehniskā gatavība nodot datus uz pacientiem pieejamām platformām</w:t>
                  </w:r>
                </w:p>
              </w:tc>
              <w:tc>
                <w:tcPr>
                  <w:tcW w:w="1950" w:type="pct"/>
                  <w:tcBorders>
                    <w:top w:val="outset" w:sz="6" w:space="0" w:color="414142"/>
                    <w:left w:val="outset" w:sz="6" w:space="0" w:color="414142"/>
                    <w:bottom w:val="outset" w:sz="6" w:space="0" w:color="414142"/>
                    <w:right w:val="outset" w:sz="6" w:space="0" w:color="414142"/>
                  </w:tcBorders>
                  <w:hideMark/>
                </w:tcPr>
                <w:p w14:paraId="5EBB9406"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Kopējais ambulatoro onkoloģijas pacientu ārstniecības epizožu skaits gadā</w:t>
                  </w:r>
                </w:p>
              </w:tc>
              <w:tc>
                <w:tcPr>
                  <w:tcW w:w="800" w:type="pct"/>
                  <w:tcBorders>
                    <w:top w:val="outset" w:sz="6" w:space="0" w:color="414142"/>
                    <w:left w:val="outset" w:sz="6" w:space="0" w:color="414142"/>
                    <w:bottom w:val="outset" w:sz="6" w:space="0" w:color="414142"/>
                    <w:right w:val="outset" w:sz="6" w:space="0" w:color="414142"/>
                  </w:tcBorders>
                  <w:hideMark/>
                </w:tcPr>
                <w:p w14:paraId="5D2A9B9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143 000</w:t>
                  </w:r>
                </w:p>
              </w:tc>
              <w:tc>
                <w:tcPr>
                  <w:tcW w:w="800" w:type="pct"/>
                  <w:tcBorders>
                    <w:top w:val="outset" w:sz="6" w:space="0" w:color="414142"/>
                    <w:left w:val="outset" w:sz="6" w:space="0" w:color="414142"/>
                    <w:bottom w:val="outset" w:sz="6" w:space="0" w:color="414142"/>
                    <w:right w:val="outset" w:sz="6" w:space="0" w:color="414142"/>
                  </w:tcBorders>
                  <w:hideMark/>
                </w:tcPr>
                <w:p w14:paraId="46A0FCC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r w:rsidR="00F72E46" w:rsidRPr="00F72E46" w14:paraId="25840753" w14:textId="77777777" w:rsidTr="64AB79F5">
              <w:tc>
                <w:tcPr>
                  <w:tcW w:w="1500" w:type="pct"/>
                  <w:tcBorders>
                    <w:top w:val="outset" w:sz="6" w:space="0" w:color="414142"/>
                    <w:left w:val="outset" w:sz="6" w:space="0" w:color="414142"/>
                    <w:bottom w:val="outset" w:sz="6" w:space="0" w:color="414142"/>
                    <w:right w:val="outset" w:sz="6" w:space="0" w:color="414142"/>
                  </w:tcBorders>
                  <w:hideMark/>
                </w:tcPr>
                <w:p w14:paraId="7A2B6791" w14:textId="77777777" w:rsidR="003A0C1A" w:rsidRPr="00F72E46" w:rsidRDefault="003A0C1A"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3.3.4. Ieguvums pacientiem – datu pieejamība pēc katras stacionārās ārstniecības un aprūpes epizodes, datu pieejamība ārstniecības un aprūpes procesa nepārtrauktībai un kvalitatīvu ārstniecības un aprūpes lēmumu pieņemšanai. Tehniskā gatavība nodot datus uz pacientiem pieejamām platformām</w:t>
                  </w:r>
                </w:p>
              </w:tc>
              <w:tc>
                <w:tcPr>
                  <w:tcW w:w="1950" w:type="pct"/>
                  <w:tcBorders>
                    <w:top w:val="outset" w:sz="6" w:space="0" w:color="414142"/>
                    <w:left w:val="outset" w:sz="6" w:space="0" w:color="414142"/>
                    <w:bottom w:val="outset" w:sz="6" w:space="0" w:color="414142"/>
                    <w:right w:val="outset" w:sz="6" w:space="0" w:color="414142"/>
                  </w:tcBorders>
                  <w:hideMark/>
                </w:tcPr>
                <w:p w14:paraId="6E311B0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Kopējais onkoloģijas pacientu stacionāro ārstniecības epizožu skaits gadā</w:t>
                  </w:r>
                </w:p>
              </w:tc>
              <w:tc>
                <w:tcPr>
                  <w:tcW w:w="800" w:type="pct"/>
                  <w:tcBorders>
                    <w:top w:val="outset" w:sz="6" w:space="0" w:color="414142"/>
                    <w:left w:val="outset" w:sz="6" w:space="0" w:color="414142"/>
                    <w:bottom w:val="outset" w:sz="6" w:space="0" w:color="414142"/>
                    <w:right w:val="outset" w:sz="6" w:space="0" w:color="414142"/>
                  </w:tcBorders>
                  <w:hideMark/>
                </w:tcPr>
                <w:p w14:paraId="6CE62D4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19 000</w:t>
                  </w:r>
                </w:p>
              </w:tc>
              <w:tc>
                <w:tcPr>
                  <w:tcW w:w="800" w:type="pct"/>
                  <w:tcBorders>
                    <w:top w:val="outset" w:sz="6" w:space="0" w:color="414142"/>
                    <w:left w:val="outset" w:sz="6" w:space="0" w:color="414142"/>
                    <w:bottom w:val="outset" w:sz="6" w:space="0" w:color="414142"/>
                    <w:right w:val="outset" w:sz="6" w:space="0" w:color="414142"/>
                  </w:tcBorders>
                  <w:hideMark/>
                </w:tcPr>
                <w:p w14:paraId="55652D34"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bl>
          <w:p w14:paraId="5519B00D"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4. Nepieciešamā finansējuma apjoms un tā sadalījums pa projekta darbībām iznākumu sasniegšanai un būtisko izmaksu veidiem</w:t>
            </w:r>
          </w:p>
          <w:tbl>
            <w:tblPr>
              <w:tblW w:w="5000" w:type="pct"/>
              <w:tblBorders>
                <w:top w:val="outset" w:sz="6"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3311"/>
              <w:gridCol w:w="3588"/>
              <w:gridCol w:w="2300"/>
            </w:tblGrid>
            <w:tr w:rsidR="00F72E46" w:rsidRPr="00F72E46" w14:paraId="49786099" w14:textId="77777777" w:rsidTr="64AB79F5">
              <w:trPr>
                <w:trHeight w:val="240"/>
              </w:trPr>
              <w:tc>
                <w:tcPr>
                  <w:tcW w:w="1800" w:type="pct"/>
                  <w:tcBorders>
                    <w:top w:val="outset" w:sz="6" w:space="0" w:color="414142"/>
                    <w:left w:val="outset" w:sz="6" w:space="0" w:color="414142"/>
                    <w:bottom w:val="outset" w:sz="6" w:space="0" w:color="414142"/>
                    <w:right w:val="outset" w:sz="6" w:space="0" w:color="414142"/>
                  </w:tcBorders>
                  <w:hideMark/>
                </w:tcPr>
                <w:p w14:paraId="5583C5B4" w14:textId="77777777" w:rsidR="003A0C1A" w:rsidRPr="00F72E46" w:rsidRDefault="003A0C1A" w:rsidP="00232AE5">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4.1. Atveseļošanas fonda plāna finansējums (kopā)</w:t>
                  </w:r>
                </w:p>
              </w:tc>
              <w:tc>
                <w:tcPr>
                  <w:tcW w:w="3200" w:type="pct"/>
                  <w:gridSpan w:val="2"/>
                  <w:tcBorders>
                    <w:top w:val="outset" w:sz="6" w:space="0" w:color="414142"/>
                    <w:left w:val="outset" w:sz="6" w:space="0" w:color="414142"/>
                    <w:bottom w:val="outset" w:sz="6" w:space="0" w:color="414142"/>
                    <w:right w:val="outset" w:sz="6" w:space="0" w:color="414142"/>
                  </w:tcBorders>
                  <w:hideMark/>
                </w:tcPr>
                <w:p w14:paraId="3B44623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4.2. Plānotais pievienotās vērtības nodokļa (PVN) apmērs (kopā), ja tiks pieprasīta tā segšana</w:t>
                  </w:r>
                  <w:r w:rsidRPr="00F72E46">
                    <w:rPr>
                      <w:rFonts w:ascii="Times New Roman" w:hAnsi="Times New Roman" w:cs="Times New Roman"/>
                      <w:sz w:val="24"/>
                      <w:szCs w:val="24"/>
                      <w:vertAlign w:val="superscript"/>
                    </w:rPr>
                    <w:t>5</w:t>
                  </w:r>
                  <w:r w:rsidRPr="00F72E46">
                    <w:rPr>
                      <w:rFonts w:ascii="Times New Roman" w:hAnsi="Times New Roman" w:cs="Times New Roman"/>
                      <w:sz w:val="24"/>
                      <w:szCs w:val="24"/>
                    </w:rPr>
                    <w:t>, un avansa apmērs, ja plānots to pieprasīt</w:t>
                  </w:r>
                  <w:r w:rsidRPr="00F72E46">
                    <w:rPr>
                      <w:rFonts w:ascii="Times New Roman" w:hAnsi="Times New Roman" w:cs="Times New Roman"/>
                      <w:sz w:val="24"/>
                      <w:szCs w:val="24"/>
                      <w:vertAlign w:val="superscript"/>
                    </w:rPr>
                    <w:t>6</w:t>
                  </w:r>
                </w:p>
              </w:tc>
            </w:tr>
            <w:tr w:rsidR="00F72E46" w:rsidRPr="00F72E46" w14:paraId="6D990526" w14:textId="77777777" w:rsidTr="64AB79F5">
              <w:trPr>
                <w:trHeight w:val="240"/>
              </w:trPr>
              <w:tc>
                <w:tcPr>
                  <w:tcW w:w="1800" w:type="pct"/>
                  <w:tcBorders>
                    <w:top w:val="outset" w:sz="6" w:space="0" w:color="414142"/>
                    <w:left w:val="outset" w:sz="6" w:space="0" w:color="414142"/>
                    <w:bottom w:val="single" w:sz="6" w:space="0" w:color="414142"/>
                    <w:right w:val="outset" w:sz="6" w:space="0" w:color="414142"/>
                  </w:tcBorders>
                  <w:hideMark/>
                </w:tcPr>
                <w:p w14:paraId="2A1EA327" w14:textId="77777777" w:rsidR="003A0C1A" w:rsidRPr="00F72E46" w:rsidRDefault="003A0C1A" w:rsidP="00232AE5">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3 850 000,00 </w:t>
                  </w:r>
                  <w:proofErr w:type="spellStart"/>
                  <w:r w:rsidRPr="00F72E46">
                    <w:rPr>
                      <w:rFonts w:ascii="Times New Roman" w:hAnsi="Times New Roman" w:cs="Times New Roman"/>
                      <w:i/>
                      <w:iCs/>
                      <w:sz w:val="24"/>
                      <w:szCs w:val="24"/>
                    </w:rPr>
                    <w:t>euro</w:t>
                  </w:r>
                  <w:proofErr w:type="spellEnd"/>
                  <w:r w:rsidRPr="00F72E46">
                    <w:rPr>
                      <w:rFonts w:ascii="Times New Roman" w:hAnsi="Times New Roman" w:cs="Times New Roman"/>
                      <w:sz w:val="24"/>
                      <w:szCs w:val="24"/>
                    </w:rPr>
                    <w:t> (bez PVN)</w:t>
                  </w:r>
                </w:p>
              </w:tc>
              <w:tc>
                <w:tcPr>
                  <w:tcW w:w="1950" w:type="pct"/>
                  <w:tcBorders>
                    <w:top w:val="outset" w:sz="6" w:space="0" w:color="414142"/>
                    <w:left w:val="outset" w:sz="6" w:space="0" w:color="414142"/>
                    <w:bottom w:val="single" w:sz="6" w:space="0" w:color="414142"/>
                    <w:right w:val="outset" w:sz="6" w:space="0" w:color="414142"/>
                  </w:tcBorders>
                  <w:hideMark/>
                </w:tcPr>
                <w:p w14:paraId="7465D346" w14:textId="151E55B3" w:rsidR="003A0C1A" w:rsidRPr="00F72E46" w:rsidRDefault="71CE6D7F"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379 632</w:t>
                  </w:r>
                  <w:r w:rsidR="4AED5840" w:rsidRPr="64AB79F5">
                    <w:rPr>
                      <w:rFonts w:ascii="Times New Roman" w:hAnsi="Times New Roman" w:cs="Times New Roman"/>
                      <w:sz w:val="24"/>
                      <w:szCs w:val="24"/>
                    </w:rPr>
                    <w:t>,00 </w:t>
                  </w:r>
                  <w:proofErr w:type="spellStart"/>
                  <w:r w:rsidR="4AED5840" w:rsidRPr="64AB79F5">
                    <w:rPr>
                      <w:rFonts w:ascii="Times New Roman" w:hAnsi="Times New Roman" w:cs="Times New Roman"/>
                      <w:i/>
                      <w:iCs/>
                      <w:sz w:val="24"/>
                      <w:szCs w:val="24"/>
                    </w:rPr>
                    <w:t>euro</w:t>
                  </w:r>
                  <w:proofErr w:type="spellEnd"/>
                </w:p>
              </w:tc>
              <w:tc>
                <w:tcPr>
                  <w:tcW w:w="1300" w:type="pct"/>
                  <w:tcBorders>
                    <w:top w:val="outset" w:sz="6" w:space="0" w:color="414142"/>
                    <w:left w:val="outset" w:sz="6" w:space="0" w:color="414142"/>
                    <w:bottom w:val="single" w:sz="6" w:space="0" w:color="414142"/>
                    <w:right w:val="outset" w:sz="6" w:space="0" w:color="414142"/>
                  </w:tcBorders>
                  <w:hideMark/>
                </w:tcPr>
                <w:p w14:paraId="016728E8" w14:textId="3B0521B0" w:rsidR="003A0C1A" w:rsidRPr="00F72E46" w:rsidRDefault="4D1123E4"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2</w:t>
                  </w:r>
                  <w:r w:rsidR="2A68318E" w:rsidRPr="64AB79F5">
                    <w:rPr>
                      <w:rFonts w:ascii="Times New Roman" w:hAnsi="Times New Roman" w:cs="Times New Roman"/>
                      <w:sz w:val="24"/>
                      <w:szCs w:val="24"/>
                    </w:rPr>
                    <w:t>0</w:t>
                  </w:r>
                  <w:r w:rsidRPr="64AB79F5">
                    <w:rPr>
                      <w:rFonts w:ascii="Times New Roman" w:hAnsi="Times New Roman" w:cs="Times New Roman"/>
                      <w:sz w:val="24"/>
                      <w:szCs w:val="24"/>
                    </w:rPr>
                    <w:t>0</w:t>
                  </w:r>
                  <w:r w:rsidR="71CE6D7F" w:rsidRPr="64AB79F5">
                    <w:rPr>
                      <w:rFonts w:ascii="Times New Roman" w:hAnsi="Times New Roman" w:cs="Times New Roman"/>
                      <w:sz w:val="24"/>
                      <w:szCs w:val="24"/>
                    </w:rPr>
                    <w:t xml:space="preserve"> 000,00 </w:t>
                  </w:r>
                  <w:proofErr w:type="spellStart"/>
                  <w:r w:rsidR="71CE6D7F" w:rsidRPr="64AB79F5">
                    <w:rPr>
                      <w:rFonts w:ascii="Times New Roman" w:hAnsi="Times New Roman" w:cs="Times New Roman"/>
                      <w:i/>
                      <w:iCs/>
                      <w:sz w:val="24"/>
                      <w:szCs w:val="24"/>
                    </w:rPr>
                    <w:t>euro</w:t>
                  </w:r>
                  <w:proofErr w:type="spellEnd"/>
                </w:p>
              </w:tc>
            </w:tr>
            <w:tr w:rsidR="00F72E46" w:rsidRPr="00F72E46" w14:paraId="65FC6FF5" w14:textId="77777777" w:rsidTr="64AB79F5">
              <w:trPr>
                <w:trHeight w:val="240"/>
              </w:trPr>
              <w:tc>
                <w:tcPr>
                  <w:tcW w:w="1800" w:type="pct"/>
                  <w:tcBorders>
                    <w:top w:val="outset" w:sz="6" w:space="0" w:color="414142"/>
                    <w:left w:val="nil"/>
                    <w:bottom w:val="nil"/>
                    <w:right w:val="nil"/>
                  </w:tcBorders>
                  <w:hideMark/>
                </w:tcPr>
                <w:p w14:paraId="22677DD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c>
                <w:tcPr>
                  <w:tcW w:w="1950" w:type="pct"/>
                  <w:tcBorders>
                    <w:top w:val="outset" w:sz="6" w:space="0" w:color="414142"/>
                    <w:left w:val="nil"/>
                    <w:bottom w:val="nil"/>
                    <w:right w:val="nil"/>
                  </w:tcBorders>
                  <w:hideMark/>
                </w:tcPr>
                <w:p w14:paraId="775369D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c>
                <w:tcPr>
                  <w:tcW w:w="1300" w:type="pct"/>
                  <w:tcBorders>
                    <w:top w:val="outset" w:sz="6" w:space="0" w:color="414142"/>
                    <w:left w:val="nil"/>
                    <w:bottom w:val="nil"/>
                    <w:right w:val="nil"/>
                  </w:tcBorders>
                  <w:hideMark/>
                </w:tcPr>
                <w:p w14:paraId="5611051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r>
          </w:tbl>
          <w:p w14:paraId="206003D7" w14:textId="77777777" w:rsidR="003A0C1A" w:rsidRPr="00F72E46" w:rsidRDefault="003A0C1A" w:rsidP="00F72E46">
            <w:pPr>
              <w:spacing w:after="0" w:line="240" w:lineRule="auto"/>
              <w:jc w:val="both"/>
              <w:rPr>
                <w:rFonts w:ascii="Times New Roman" w:hAnsi="Times New Roman" w:cs="Times New Roman"/>
                <w:vanish/>
                <w:sz w:val="24"/>
                <w:szCs w:val="24"/>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311"/>
              <w:gridCol w:w="1748"/>
              <w:gridCol w:w="1748"/>
              <w:gridCol w:w="2392"/>
            </w:tblGrid>
            <w:tr w:rsidR="00F72E46" w:rsidRPr="00F72E46" w14:paraId="38D61D06" w14:textId="77777777" w:rsidTr="64AB79F5">
              <w:tc>
                <w:tcPr>
                  <w:tcW w:w="1800" w:type="pct"/>
                  <w:tcBorders>
                    <w:top w:val="outset" w:sz="6" w:space="0" w:color="414142"/>
                    <w:left w:val="outset" w:sz="6" w:space="0" w:color="414142"/>
                    <w:bottom w:val="outset" w:sz="6" w:space="0" w:color="414142"/>
                    <w:right w:val="outset" w:sz="6" w:space="0" w:color="414142"/>
                  </w:tcBorders>
                  <w:vAlign w:val="center"/>
                  <w:hideMark/>
                </w:tcPr>
                <w:p w14:paraId="1E800FEC" w14:textId="77777777" w:rsidR="003A0C1A" w:rsidRPr="00F72E46" w:rsidRDefault="003A0C1A"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lastRenderedPageBreak/>
                    <w:t>Projekta ietvaros veicamo darbību un būtisko izmaksu veidu raksturojošs apzīmējums</w:t>
                  </w:r>
                </w:p>
              </w:tc>
              <w:tc>
                <w:tcPr>
                  <w:tcW w:w="950" w:type="pct"/>
                  <w:tcBorders>
                    <w:top w:val="outset" w:sz="6" w:space="0" w:color="414142"/>
                    <w:left w:val="outset" w:sz="6" w:space="0" w:color="414142"/>
                    <w:bottom w:val="outset" w:sz="6" w:space="0" w:color="414142"/>
                    <w:right w:val="outset" w:sz="6" w:space="0" w:color="414142"/>
                  </w:tcBorders>
                  <w:vAlign w:val="center"/>
                  <w:hideMark/>
                </w:tcPr>
                <w:p w14:paraId="31EF88C8" w14:textId="77777777" w:rsidR="003A0C1A" w:rsidRPr="00F72E46" w:rsidRDefault="003A0C1A"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Izmaksu apmērs (indikatīvi)</w:t>
                  </w:r>
                </w:p>
              </w:tc>
              <w:tc>
                <w:tcPr>
                  <w:tcW w:w="950" w:type="pct"/>
                  <w:tcBorders>
                    <w:top w:val="outset" w:sz="6" w:space="0" w:color="414142"/>
                    <w:left w:val="outset" w:sz="6" w:space="0" w:color="414142"/>
                    <w:bottom w:val="outset" w:sz="6" w:space="0" w:color="414142"/>
                    <w:right w:val="outset" w:sz="6" w:space="0" w:color="414142"/>
                  </w:tcBorders>
                  <w:vAlign w:val="center"/>
                  <w:hideMark/>
                </w:tcPr>
                <w:p w14:paraId="4D5F3566" w14:textId="77777777" w:rsidR="003A0C1A" w:rsidRPr="00F72E46" w:rsidRDefault="003A0C1A"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Maksimālais apmērs</w:t>
                  </w:r>
                  <w:r w:rsidRPr="00F72E46">
                    <w:rPr>
                      <w:rFonts w:ascii="Times New Roman" w:hAnsi="Times New Roman" w:cs="Times New Roman"/>
                      <w:sz w:val="24"/>
                      <w:szCs w:val="24"/>
                      <w:vertAlign w:val="superscript"/>
                    </w:rPr>
                    <w:t>7</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5890749A" w14:textId="77777777" w:rsidR="003A0C1A" w:rsidRPr="00F72E46" w:rsidRDefault="003A0C1A"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Darbības iznākums</w:t>
                  </w:r>
                </w:p>
              </w:tc>
            </w:tr>
            <w:tr w:rsidR="00F72E46" w:rsidRPr="00F72E46" w14:paraId="3C233C0E" w14:textId="77777777" w:rsidTr="64AB79F5">
              <w:tc>
                <w:tcPr>
                  <w:tcW w:w="1800" w:type="pct"/>
                  <w:tcBorders>
                    <w:top w:val="outset" w:sz="6" w:space="0" w:color="414142"/>
                    <w:left w:val="outset" w:sz="6" w:space="0" w:color="414142"/>
                    <w:bottom w:val="outset" w:sz="6" w:space="0" w:color="414142"/>
                    <w:right w:val="outset" w:sz="6" w:space="0" w:color="414142"/>
                  </w:tcBorders>
                  <w:hideMark/>
                </w:tcPr>
                <w:p w14:paraId="09244A4C" w14:textId="77777777" w:rsidR="003A0C1A" w:rsidRPr="00F72E46" w:rsidRDefault="003A0C1A" w:rsidP="00514534">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4.3. Projekta vadības un īstenošanas personāla izmaksas</w:t>
                  </w:r>
                </w:p>
              </w:tc>
              <w:tc>
                <w:tcPr>
                  <w:tcW w:w="950" w:type="pct"/>
                  <w:tcBorders>
                    <w:top w:val="outset" w:sz="6" w:space="0" w:color="414142"/>
                    <w:left w:val="outset" w:sz="6" w:space="0" w:color="414142"/>
                    <w:bottom w:val="outset" w:sz="6" w:space="0" w:color="414142"/>
                    <w:right w:val="outset" w:sz="6" w:space="0" w:color="414142"/>
                  </w:tcBorders>
                  <w:hideMark/>
                </w:tcPr>
                <w:p w14:paraId="216A61E2" w14:textId="77777777" w:rsidR="001C3427" w:rsidRPr="00EF6A0A" w:rsidRDefault="71CE6D7F" w:rsidP="001C3427">
                  <w:pPr>
                    <w:spacing w:after="0" w:line="240" w:lineRule="auto"/>
                    <w:jc w:val="right"/>
                    <w:rPr>
                      <w:rFonts w:ascii="Times New Roman" w:hAnsi="Times New Roman" w:cs="Times New Roman"/>
                      <w:sz w:val="24"/>
                      <w:szCs w:val="24"/>
                    </w:rPr>
                  </w:pPr>
                  <w:r w:rsidRPr="64AB79F5">
                    <w:rPr>
                      <w:rFonts w:ascii="Times New Roman" w:hAnsi="Times New Roman" w:cs="Times New Roman"/>
                      <w:sz w:val="24"/>
                      <w:szCs w:val="24"/>
                    </w:rPr>
                    <w:t>2 003 647,00 </w:t>
                  </w:r>
                </w:p>
                <w:p w14:paraId="5042F44A" w14:textId="751C70A8" w:rsidR="003A0C1A" w:rsidRPr="00F72E46" w:rsidRDefault="4AED5840" w:rsidP="00563825">
                  <w:pPr>
                    <w:spacing w:after="0" w:line="240" w:lineRule="auto"/>
                    <w:jc w:val="right"/>
                    <w:rPr>
                      <w:rFonts w:ascii="Times New Roman" w:hAnsi="Times New Roman" w:cs="Times New Roman"/>
                      <w:sz w:val="24"/>
                      <w:szCs w:val="24"/>
                    </w:rPr>
                  </w:pPr>
                  <w:proofErr w:type="spellStart"/>
                  <w:r w:rsidRPr="64AB79F5">
                    <w:rPr>
                      <w:rFonts w:ascii="Times New Roman" w:hAnsi="Times New Roman" w:cs="Times New Roman"/>
                      <w:i/>
                      <w:iCs/>
                      <w:sz w:val="24"/>
                      <w:szCs w:val="24"/>
                    </w:rPr>
                    <w:t>euro</w:t>
                  </w:r>
                  <w:proofErr w:type="spellEnd"/>
                </w:p>
              </w:tc>
              <w:tc>
                <w:tcPr>
                  <w:tcW w:w="950" w:type="pct"/>
                  <w:tcBorders>
                    <w:top w:val="outset" w:sz="6" w:space="0" w:color="414142"/>
                    <w:left w:val="outset" w:sz="6" w:space="0" w:color="414142"/>
                    <w:bottom w:val="outset" w:sz="6" w:space="0" w:color="414142"/>
                    <w:right w:val="outset" w:sz="6" w:space="0" w:color="414142"/>
                  </w:tcBorders>
                  <w:hideMark/>
                </w:tcPr>
                <w:p w14:paraId="4E828765" w14:textId="77777777" w:rsidR="001C3427" w:rsidRPr="00EF6A0A" w:rsidRDefault="71CE6D7F" w:rsidP="001C3427">
                  <w:pPr>
                    <w:spacing w:after="0" w:line="240" w:lineRule="auto"/>
                    <w:jc w:val="right"/>
                    <w:rPr>
                      <w:rFonts w:ascii="Times New Roman" w:hAnsi="Times New Roman" w:cs="Times New Roman"/>
                      <w:sz w:val="24"/>
                      <w:szCs w:val="24"/>
                    </w:rPr>
                  </w:pPr>
                  <w:r w:rsidRPr="64AB79F5">
                    <w:rPr>
                      <w:rFonts w:ascii="Times New Roman" w:hAnsi="Times New Roman" w:cs="Times New Roman"/>
                      <w:sz w:val="24"/>
                      <w:szCs w:val="24"/>
                    </w:rPr>
                    <w:t>2 003 647,00 </w:t>
                  </w:r>
                </w:p>
                <w:p w14:paraId="33A29AF1" w14:textId="5CA40BDC" w:rsidR="003A0C1A" w:rsidRPr="00F72E46" w:rsidRDefault="71CE6D7F" w:rsidP="64AB79F5">
                  <w:pPr>
                    <w:spacing w:after="0" w:line="240" w:lineRule="auto"/>
                    <w:jc w:val="right"/>
                    <w:rPr>
                      <w:rFonts w:ascii="Times New Roman" w:hAnsi="Times New Roman" w:cs="Times New Roman"/>
                      <w:i/>
                      <w:iCs/>
                      <w:sz w:val="24"/>
                      <w:szCs w:val="24"/>
                    </w:rPr>
                  </w:pPr>
                  <w:proofErr w:type="spellStart"/>
                  <w:r w:rsidRPr="64AB79F5">
                    <w:rPr>
                      <w:rFonts w:ascii="Times New Roman" w:hAnsi="Times New Roman" w:cs="Times New Roman"/>
                      <w:i/>
                      <w:iCs/>
                      <w:sz w:val="24"/>
                      <w:szCs w:val="24"/>
                    </w:rPr>
                    <w:t>euro</w:t>
                  </w:r>
                  <w:proofErr w:type="spellEnd"/>
                </w:p>
              </w:tc>
              <w:tc>
                <w:tcPr>
                  <w:tcW w:w="1350" w:type="pct"/>
                  <w:tcBorders>
                    <w:top w:val="outset" w:sz="6" w:space="0" w:color="414142"/>
                    <w:left w:val="outset" w:sz="6" w:space="0" w:color="414142"/>
                    <w:bottom w:val="outset" w:sz="6" w:space="0" w:color="414142"/>
                    <w:right w:val="outset" w:sz="6" w:space="0" w:color="414142"/>
                  </w:tcBorders>
                  <w:hideMark/>
                </w:tcPr>
                <w:p w14:paraId="001EE426" w14:textId="4CEB552A" w:rsidR="003A0C1A" w:rsidRPr="00F72E46" w:rsidRDefault="003A0C1A" w:rsidP="00514534">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Nodrošināts projekta vadības un īstenošanas personāls</w:t>
                  </w:r>
                  <w:r w:rsidR="00F41F44" w:rsidRPr="00F72E46">
                    <w:rPr>
                      <w:rFonts w:ascii="Times New Roman" w:hAnsi="Times New Roman" w:cs="Times New Roman"/>
                      <w:sz w:val="24"/>
                      <w:szCs w:val="24"/>
                    </w:rPr>
                    <w:t xml:space="preserve">. Piesaistītais personāls veiks IKT risinājumu izstrādi un pilnveidošanu, pakalpojumu attīstīšanu un uzlabošanu, tostarp jaunu funkcionalitāšu izstrādi un esošo procesu optimizēšanu. </w:t>
                  </w:r>
                  <w:r w:rsidR="00B266BB" w:rsidRPr="00F72E46">
                    <w:rPr>
                      <w:rFonts w:ascii="Times New Roman" w:hAnsi="Times New Roman" w:cs="Times New Roman"/>
                      <w:sz w:val="24"/>
                      <w:szCs w:val="24"/>
                    </w:rPr>
                    <w:t>Iekšējie programmētāji, strādājot ciešā saiknē ar slimnīcas personālu, ir labāk informēti par konkrētām vajadzībām un procesu sarežģītību, tādējādi ļaujot precīzāk un efektīvāk izveidot sistēmas funkcionalitāti, kas precīzi atbilst lietotāju prasībām.</w:t>
                  </w:r>
                  <w:r w:rsidR="004A5894" w:rsidRPr="00F72E46">
                    <w:rPr>
                      <w:rFonts w:ascii="Times New Roman" w:hAnsi="Times New Roman" w:cs="Times New Roman"/>
                      <w:sz w:val="24"/>
                      <w:szCs w:val="24"/>
                    </w:rPr>
                    <w:t xml:space="preserve"> Vienlaikus slimnīcas apliecina, ka ir ieviesta procedūra izstrādes nodevumu pieņemšanas procesam</w:t>
                  </w:r>
                </w:p>
              </w:tc>
            </w:tr>
            <w:tr w:rsidR="00F72E46" w:rsidRPr="00F72E46" w14:paraId="0EFCAF22" w14:textId="77777777" w:rsidTr="64AB79F5">
              <w:tc>
                <w:tcPr>
                  <w:tcW w:w="1800" w:type="pct"/>
                  <w:tcBorders>
                    <w:top w:val="outset" w:sz="6" w:space="0" w:color="414142"/>
                    <w:left w:val="outset" w:sz="6" w:space="0" w:color="414142"/>
                    <w:bottom w:val="outset" w:sz="6" w:space="0" w:color="414142"/>
                    <w:right w:val="outset" w:sz="6" w:space="0" w:color="414142"/>
                  </w:tcBorders>
                  <w:hideMark/>
                </w:tcPr>
                <w:p w14:paraId="2EC3AC0C" w14:textId="77777777" w:rsidR="003A0C1A" w:rsidRPr="00F72E46" w:rsidRDefault="003A0C1A" w:rsidP="00514534">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4.4. Koplietošanas platformas un RAKUS, PSKUS, BSKUS IS pilnveidojumu projektēšana, izstrāde, testēšana, ieviešana, apmācība un izmitināšana</w:t>
                  </w:r>
                </w:p>
              </w:tc>
              <w:tc>
                <w:tcPr>
                  <w:tcW w:w="950" w:type="pct"/>
                  <w:tcBorders>
                    <w:top w:val="outset" w:sz="6" w:space="0" w:color="414142"/>
                    <w:left w:val="outset" w:sz="6" w:space="0" w:color="414142"/>
                    <w:bottom w:val="outset" w:sz="6" w:space="0" w:color="414142"/>
                    <w:right w:val="outset" w:sz="6" w:space="0" w:color="414142"/>
                  </w:tcBorders>
                  <w:hideMark/>
                </w:tcPr>
                <w:p w14:paraId="23AC0ABF" w14:textId="19325F1A" w:rsidR="003A0C1A" w:rsidRPr="00AC2141" w:rsidRDefault="71CE6D7F" w:rsidP="00514534">
                  <w:pPr>
                    <w:spacing w:after="0" w:line="240" w:lineRule="auto"/>
                    <w:rPr>
                      <w:rFonts w:ascii="Times New Roman" w:hAnsi="Times New Roman" w:cs="Times New Roman"/>
                    </w:rPr>
                  </w:pPr>
                  <w:r w:rsidRPr="64AB79F5">
                    <w:rPr>
                      <w:rFonts w:ascii="Times New Roman" w:hAnsi="Times New Roman" w:cs="Times New Roman"/>
                    </w:rPr>
                    <w:t>1 846 353</w:t>
                  </w:r>
                  <w:r w:rsidR="4AED5840" w:rsidRPr="64AB79F5">
                    <w:rPr>
                      <w:rFonts w:ascii="Times New Roman" w:hAnsi="Times New Roman" w:cs="Times New Roman"/>
                    </w:rPr>
                    <w:t>,00</w:t>
                  </w:r>
                  <w:r w:rsidR="12538C2E" w:rsidRPr="64AB79F5">
                    <w:rPr>
                      <w:rFonts w:ascii="Times New Roman" w:hAnsi="Times New Roman" w:cs="Times New Roman"/>
                    </w:rPr>
                    <w:t xml:space="preserve"> </w:t>
                  </w:r>
                  <w:proofErr w:type="spellStart"/>
                  <w:r w:rsidR="4AED5840" w:rsidRPr="64AB79F5">
                    <w:rPr>
                      <w:rFonts w:ascii="Times New Roman" w:hAnsi="Times New Roman" w:cs="Times New Roman"/>
                      <w:i/>
                      <w:iCs/>
                    </w:rPr>
                    <w:t>euro</w:t>
                  </w:r>
                  <w:proofErr w:type="spellEnd"/>
                </w:p>
              </w:tc>
              <w:tc>
                <w:tcPr>
                  <w:tcW w:w="950" w:type="pct"/>
                  <w:tcBorders>
                    <w:top w:val="outset" w:sz="6" w:space="0" w:color="414142"/>
                    <w:left w:val="outset" w:sz="6" w:space="0" w:color="414142"/>
                    <w:bottom w:val="outset" w:sz="6" w:space="0" w:color="414142"/>
                    <w:right w:val="outset" w:sz="6" w:space="0" w:color="414142"/>
                  </w:tcBorders>
                  <w:hideMark/>
                </w:tcPr>
                <w:p w14:paraId="1A2518AE" w14:textId="04E05FCF" w:rsidR="003A0C1A" w:rsidRPr="00AC2141" w:rsidRDefault="71CE6D7F" w:rsidP="00514534">
                  <w:pPr>
                    <w:spacing w:after="0" w:line="240" w:lineRule="auto"/>
                    <w:rPr>
                      <w:rFonts w:ascii="Times New Roman" w:hAnsi="Times New Roman" w:cs="Times New Roman"/>
                    </w:rPr>
                  </w:pPr>
                  <w:r w:rsidRPr="64AB79F5">
                    <w:rPr>
                      <w:rFonts w:ascii="Times New Roman" w:hAnsi="Times New Roman" w:cs="Times New Roman"/>
                    </w:rPr>
                    <w:t>1 846 353</w:t>
                  </w:r>
                  <w:r w:rsidR="4AED5840" w:rsidRPr="64AB79F5">
                    <w:rPr>
                      <w:rFonts w:ascii="Times New Roman" w:hAnsi="Times New Roman" w:cs="Times New Roman"/>
                    </w:rPr>
                    <w:t>,00</w:t>
                  </w:r>
                  <w:r w:rsidR="12538C2E" w:rsidRPr="64AB79F5">
                    <w:rPr>
                      <w:rFonts w:ascii="Times New Roman" w:hAnsi="Times New Roman" w:cs="Times New Roman"/>
                    </w:rPr>
                    <w:t xml:space="preserve"> </w:t>
                  </w:r>
                  <w:proofErr w:type="spellStart"/>
                  <w:r w:rsidR="4AED5840" w:rsidRPr="64AB79F5">
                    <w:rPr>
                      <w:rFonts w:ascii="Times New Roman" w:hAnsi="Times New Roman" w:cs="Times New Roman"/>
                      <w:i/>
                      <w:iCs/>
                    </w:rPr>
                    <w:t>euro</w:t>
                  </w:r>
                  <w:proofErr w:type="spellEnd"/>
                </w:p>
              </w:tc>
              <w:tc>
                <w:tcPr>
                  <w:tcW w:w="1350" w:type="pct"/>
                  <w:tcBorders>
                    <w:top w:val="outset" w:sz="6" w:space="0" w:color="414142"/>
                    <w:left w:val="outset" w:sz="6" w:space="0" w:color="414142"/>
                    <w:bottom w:val="outset" w:sz="6" w:space="0" w:color="414142"/>
                    <w:right w:val="outset" w:sz="6" w:space="0" w:color="414142"/>
                  </w:tcBorders>
                  <w:hideMark/>
                </w:tcPr>
                <w:p w14:paraId="1C309624" w14:textId="2024BD65" w:rsidR="003A0C1A" w:rsidRPr="00F72E46" w:rsidRDefault="309D1718" w:rsidP="00514534">
                  <w:pPr>
                    <w:spacing w:after="0" w:line="240" w:lineRule="auto"/>
                    <w:rPr>
                      <w:rFonts w:ascii="Times New Roman" w:hAnsi="Times New Roman" w:cs="Times New Roman"/>
                      <w:sz w:val="24"/>
                      <w:szCs w:val="24"/>
                    </w:rPr>
                  </w:pPr>
                  <w:r w:rsidRPr="64AB79F5">
                    <w:rPr>
                      <w:rFonts w:ascii="Times New Roman" w:hAnsi="Times New Roman" w:cs="Times New Roman"/>
                      <w:sz w:val="24"/>
                      <w:szCs w:val="24"/>
                    </w:rPr>
                    <w:t>I</w:t>
                  </w:r>
                  <w:r w:rsidR="4AED5840" w:rsidRPr="64AB79F5">
                    <w:rPr>
                      <w:rFonts w:ascii="Times New Roman" w:hAnsi="Times New Roman" w:cs="Times New Roman"/>
                      <w:sz w:val="24"/>
                      <w:szCs w:val="24"/>
                    </w:rPr>
                    <w:t xml:space="preserve">zstrādāti pielāgojumi vai jauni risinājumi KUS onkoloģijas pacientu informācijas apkopošanai un apmaiņai </w:t>
                  </w:r>
                </w:p>
              </w:tc>
            </w:tr>
          </w:tbl>
          <w:p w14:paraId="0ED76CD8"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 Projekta ieguldījums reformu un investīciju mērķu rādītāju sasniegšanā</w:t>
            </w:r>
          </w:p>
          <w:p w14:paraId="79774480"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5.1. Modernizēto pārvaldes procesu IKT risinājumi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4" w:type="dxa"/>
                <w:left w:w="24" w:type="dxa"/>
                <w:bottom w:w="24" w:type="dxa"/>
                <w:right w:w="24" w:type="dxa"/>
              </w:tblCellMar>
              <w:tblLook w:val="04A0" w:firstRow="1" w:lastRow="0" w:firstColumn="1" w:lastColumn="0" w:noHBand="0" w:noVBand="1"/>
            </w:tblPr>
            <w:tblGrid>
              <w:gridCol w:w="635"/>
              <w:gridCol w:w="1195"/>
              <w:gridCol w:w="1830"/>
              <w:gridCol w:w="768"/>
              <w:gridCol w:w="1425"/>
              <w:gridCol w:w="1110"/>
              <w:gridCol w:w="2242"/>
            </w:tblGrid>
            <w:tr w:rsidR="00F72E46" w:rsidRPr="00F72E46" w14:paraId="5CBF805E" w14:textId="77777777" w:rsidTr="64AB79F5">
              <w:tc>
                <w:tcPr>
                  <w:tcW w:w="345" w:type="pct"/>
                  <w:vAlign w:val="center"/>
                  <w:hideMark/>
                </w:tcPr>
                <w:p w14:paraId="6F8BDEE1"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Skaits</w:t>
                  </w:r>
                </w:p>
              </w:tc>
              <w:tc>
                <w:tcPr>
                  <w:tcW w:w="649" w:type="pct"/>
                  <w:vAlign w:val="center"/>
                  <w:hideMark/>
                </w:tcPr>
                <w:p w14:paraId="63F24BA8" w14:textId="77777777" w:rsidR="003A0C1A"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IKT risinājuma nosaukums</w:t>
                  </w:r>
                </w:p>
              </w:tc>
              <w:tc>
                <w:tcPr>
                  <w:tcW w:w="1003" w:type="pct"/>
                  <w:vAlign w:val="center"/>
                  <w:hideMark/>
                </w:tcPr>
                <w:p w14:paraId="614D57DA" w14:textId="77777777" w:rsidR="003A0C1A"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Īss apraksts</w:t>
                  </w:r>
                  <w:r w:rsidRPr="00F72E46">
                    <w:rPr>
                      <w:rFonts w:ascii="Times New Roman" w:hAnsi="Times New Roman" w:cs="Times New Roman"/>
                      <w:sz w:val="24"/>
                      <w:szCs w:val="24"/>
                      <w:vertAlign w:val="superscript"/>
                    </w:rPr>
                    <w:t>8</w:t>
                  </w:r>
                </w:p>
              </w:tc>
              <w:tc>
                <w:tcPr>
                  <w:tcW w:w="381" w:type="pct"/>
                  <w:vAlign w:val="center"/>
                  <w:hideMark/>
                </w:tcPr>
                <w:p w14:paraId="6F302EA5" w14:textId="77777777" w:rsidR="003A0C1A"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Valsts mākonī</w:t>
                  </w:r>
                </w:p>
                <w:p w14:paraId="267A51BA" w14:textId="77777777" w:rsidR="003A0C1A"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(jā/nē)</w:t>
                  </w:r>
                </w:p>
              </w:tc>
              <w:tc>
                <w:tcPr>
                  <w:tcW w:w="783" w:type="pct"/>
                  <w:vAlign w:val="center"/>
                  <w:hideMark/>
                </w:tcPr>
                <w:p w14:paraId="7F3403A0" w14:textId="2BF89269" w:rsidR="00F05CBD"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Termiņš IKT risinājumu</w:t>
                  </w:r>
                </w:p>
                <w:p w14:paraId="74D1B65E" w14:textId="7A159D48" w:rsidR="00F05CBD"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attīstības saskaņošanai</w:t>
                  </w:r>
                  <w:r w:rsidRPr="00F72E46">
                    <w:rPr>
                      <w:rFonts w:ascii="Times New Roman" w:hAnsi="Times New Roman" w:cs="Times New Roman"/>
                      <w:sz w:val="24"/>
                      <w:szCs w:val="24"/>
                      <w:vertAlign w:val="superscript"/>
                    </w:rPr>
                    <w:t>9</w:t>
                  </w:r>
                </w:p>
                <w:p w14:paraId="3D9E01B2" w14:textId="097BFE26" w:rsidR="003A0C1A"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(gads, ceturksnis)</w:t>
                  </w:r>
                </w:p>
              </w:tc>
              <w:tc>
                <w:tcPr>
                  <w:tcW w:w="612" w:type="pct"/>
                  <w:tcBorders>
                    <w:right w:val="single" w:sz="4" w:space="0" w:color="auto"/>
                  </w:tcBorders>
                  <w:vAlign w:val="center"/>
                  <w:hideMark/>
                </w:tcPr>
                <w:p w14:paraId="71B3DB2F" w14:textId="688A4CE0" w:rsidR="003A0C1A" w:rsidRPr="00F72E46" w:rsidRDefault="003A0C1A"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Termiņš</w:t>
                  </w:r>
                  <w:r w:rsidR="001171E2" w:rsidRPr="00F72E46">
                    <w:rPr>
                      <w:rFonts w:ascii="Times New Roman" w:hAnsi="Times New Roman" w:cs="Times New Roman"/>
                      <w:sz w:val="24"/>
                      <w:szCs w:val="24"/>
                    </w:rPr>
                    <w:t xml:space="preserve"> </w:t>
                  </w:r>
                  <w:r w:rsidRPr="00F72E46">
                    <w:rPr>
                      <w:rFonts w:ascii="Times New Roman" w:hAnsi="Times New Roman" w:cs="Times New Roman"/>
                      <w:sz w:val="24"/>
                      <w:szCs w:val="24"/>
                    </w:rPr>
                    <w:t>ieviešanai produkcijā</w:t>
                  </w:r>
                  <w:r w:rsidR="001171E2" w:rsidRPr="00F72E46">
                    <w:rPr>
                      <w:rFonts w:ascii="Times New Roman" w:hAnsi="Times New Roman" w:cs="Times New Roman"/>
                      <w:sz w:val="24"/>
                      <w:szCs w:val="24"/>
                    </w:rPr>
                    <w:t xml:space="preserve"> </w:t>
                  </w:r>
                  <w:r w:rsidRPr="00F72E46">
                    <w:rPr>
                      <w:rFonts w:ascii="Times New Roman" w:hAnsi="Times New Roman" w:cs="Times New Roman"/>
                      <w:sz w:val="24"/>
                      <w:szCs w:val="24"/>
                    </w:rPr>
                    <w:t>(gads, ceturksnis)</w:t>
                  </w:r>
                </w:p>
              </w:tc>
              <w:tc>
                <w:tcPr>
                  <w:tcW w:w="1228" w:type="pct"/>
                  <w:tcBorders>
                    <w:top w:val="single" w:sz="4" w:space="0" w:color="auto"/>
                    <w:left w:val="single" w:sz="4" w:space="0" w:color="auto"/>
                    <w:bottom w:val="single" w:sz="4" w:space="0" w:color="auto"/>
                    <w:right w:val="single" w:sz="4" w:space="0" w:color="auto"/>
                  </w:tcBorders>
                  <w:vAlign w:val="center"/>
                  <w:hideMark/>
                </w:tcPr>
                <w:p w14:paraId="451A9166" w14:textId="2A3FDCE0" w:rsidR="001171E2" w:rsidRPr="00F72E46" w:rsidRDefault="003A0C1A" w:rsidP="00514534">
                  <w:pPr>
                    <w:tabs>
                      <w:tab w:val="left" w:pos="2242"/>
                    </w:tabs>
                    <w:spacing w:after="0" w:line="240" w:lineRule="auto"/>
                    <w:ind w:firstLine="2"/>
                    <w:jc w:val="center"/>
                    <w:rPr>
                      <w:rFonts w:ascii="Times New Roman" w:hAnsi="Times New Roman" w:cs="Times New Roman"/>
                      <w:sz w:val="24"/>
                      <w:szCs w:val="24"/>
                    </w:rPr>
                  </w:pPr>
                  <w:r w:rsidRPr="00F72E46">
                    <w:rPr>
                      <w:rFonts w:ascii="Times New Roman" w:hAnsi="Times New Roman" w:cs="Times New Roman"/>
                      <w:sz w:val="24"/>
                      <w:szCs w:val="24"/>
                    </w:rPr>
                    <w:t>Risinājuma lietotāji</w:t>
                  </w:r>
                </w:p>
                <w:p w14:paraId="1BEC8BE5" w14:textId="1CB41F1E" w:rsidR="003A0C1A" w:rsidRPr="00F72E46" w:rsidRDefault="003A0C1A" w:rsidP="00514534">
                  <w:pPr>
                    <w:tabs>
                      <w:tab w:val="left" w:pos="2242"/>
                    </w:tabs>
                    <w:spacing w:after="0" w:line="240" w:lineRule="auto"/>
                    <w:ind w:firstLine="2"/>
                    <w:jc w:val="center"/>
                    <w:rPr>
                      <w:rFonts w:ascii="Times New Roman" w:hAnsi="Times New Roman" w:cs="Times New Roman"/>
                      <w:sz w:val="24"/>
                      <w:szCs w:val="24"/>
                    </w:rPr>
                  </w:pPr>
                  <w:r w:rsidRPr="00F72E46">
                    <w:rPr>
                      <w:rFonts w:ascii="Times New Roman" w:hAnsi="Times New Roman" w:cs="Times New Roman"/>
                      <w:sz w:val="24"/>
                      <w:szCs w:val="24"/>
                    </w:rPr>
                    <w:t>(skaits)</w:t>
                  </w:r>
                </w:p>
              </w:tc>
            </w:tr>
            <w:tr w:rsidR="00F72E46" w:rsidRPr="00F72E46" w14:paraId="5EE050B4" w14:textId="77777777" w:rsidTr="64AB79F5">
              <w:tc>
                <w:tcPr>
                  <w:tcW w:w="345" w:type="pct"/>
                  <w:hideMark/>
                </w:tcPr>
                <w:p w14:paraId="39AC8E7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w:t>
                  </w:r>
                </w:p>
              </w:tc>
              <w:tc>
                <w:tcPr>
                  <w:tcW w:w="649" w:type="pct"/>
                  <w:hideMark/>
                </w:tcPr>
                <w:p w14:paraId="2BE2F9F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KUS onkoloģijas pacienta datu </w:t>
                  </w:r>
                  <w:r w:rsidRPr="00F72E46">
                    <w:rPr>
                      <w:rFonts w:ascii="Times New Roman" w:hAnsi="Times New Roman" w:cs="Times New Roman"/>
                      <w:sz w:val="24"/>
                      <w:szCs w:val="24"/>
                    </w:rPr>
                    <w:lastRenderedPageBreak/>
                    <w:t>apmaiņas platforma</w:t>
                  </w:r>
                </w:p>
              </w:tc>
              <w:tc>
                <w:tcPr>
                  <w:tcW w:w="1003" w:type="pct"/>
                  <w:hideMark/>
                </w:tcPr>
                <w:p w14:paraId="3D9B9D05" w14:textId="6B7FDDD9"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lastRenderedPageBreak/>
                    <w:t xml:space="preserve">Risinājuma izstrādes gaitā tiks </w:t>
                  </w:r>
                  <w:r w:rsidR="00EB7558" w:rsidRPr="00F72E46">
                    <w:rPr>
                      <w:rFonts w:ascii="Times New Roman" w:hAnsi="Times New Roman" w:cs="Times New Roman"/>
                      <w:sz w:val="24"/>
                      <w:szCs w:val="24"/>
                    </w:rPr>
                    <w:t xml:space="preserve">radīta </w:t>
                  </w:r>
                  <w:r w:rsidRPr="00F72E46">
                    <w:rPr>
                      <w:rFonts w:ascii="Times New Roman" w:hAnsi="Times New Roman" w:cs="Times New Roman"/>
                      <w:sz w:val="24"/>
                      <w:szCs w:val="24"/>
                    </w:rPr>
                    <w:t xml:space="preserve">onkoloģijas pacientu datu </w:t>
                  </w:r>
                  <w:r w:rsidRPr="00F72E46">
                    <w:rPr>
                      <w:rFonts w:ascii="Times New Roman" w:hAnsi="Times New Roman" w:cs="Times New Roman"/>
                      <w:sz w:val="24"/>
                      <w:szCs w:val="24"/>
                    </w:rPr>
                    <w:lastRenderedPageBreak/>
                    <w:t xml:space="preserve">koplietošanas </w:t>
                  </w:r>
                  <w:r w:rsidR="00EB7558" w:rsidRPr="00F72E46">
                    <w:rPr>
                      <w:rFonts w:ascii="Times New Roman" w:hAnsi="Times New Roman" w:cs="Times New Roman"/>
                      <w:sz w:val="24"/>
                      <w:szCs w:val="24"/>
                    </w:rPr>
                    <w:t>platforma</w:t>
                  </w:r>
                  <w:r w:rsidRPr="00F72E46">
                    <w:rPr>
                      <w:rFonts w:ascii="Times New Roman" w:hAnsi="Times New Roman" w:cs="Times New Roman"/>
                      <w:sz w:val="24"/>
                      <w:szCs w:val="24"/>
                    </w:rPr>
                    <w:t>.</w:t>
                  </w:r>
                </w:p>
                <w:p w14:paraId="15E39612" w14:textId="3D902D58"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Izstrādājamā platforma nodrošinās optimāli koordinētu digitālu onkoloģijas pacientu datu apmaiņu KUS ietvaros</w:t>
                  </w:r>
                </w:p>
                <w:p w14:paraId="5700EE6E" w14:textId="6CC08291" w:rsidR="003A0C1A" w:rsidRPr="00F72E46" w:rsidRDefault="003A0C1A" w:rsidP="00F72E46">
                  <w:pPr>
                    <w:spacing w:after="0" w:line="240" w:lineRule="auto"/>
                    <w:jc w:val="both"/>
                    <w:rPr>
                      <w:rFonts w:ascii="Times New Roman" w:hAnsi="Times New Roman" w:cs="Times New Roman"/>
                      <w:sz w:val="24"/>
                      <w:szCs w:val="24"/>
                    </w:rPr>
                  </w:pPr>
                </w:p>
              </w:tc>
              <w:tc>
                <w:tcPr>
                  <w:tcW w:w="381" w:type="pct"/>
                  <w:hideMark/>
                </w:tcPr>
                <w:p w14:paraId="59C7CD26" w14:textId="547D24A2" w:rsidR="003A0C1A" w:rsidRPr="00F72E46" w:rsidRDefault="309D1718"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lastRenderedPageBreak/>
                    <w:t>Nē</w:t>
                  </w:r>
                </w:p>
              </w:tc>
              <w:tc>
                <w:tcPr>
                  <w:tcW w:w="783" w:type="pct"/>
                  <w:hideMark/>
                </w:tcPr>
                <w:p w14:paraId="51675799"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2023. g. II cet.</w:t>
                  </w:r>
                </w:p>
                <w:p w14:paraId="611606D1" w14:textId="1C70336A" w:rsidR="005735ED" w:rsidRPr="00F72E46" w:rsidRDefault="309D1718"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IKT aktivitāšu aprakstu izmaiņu pieprasījumi </w:t>
                  </w:r>
                  <w:r w:rsidRPr="64AB79F5">
                    <w:rPr>
                      <w:rFonts w:ascii="Times New Roman" w:hAnsi="Times New Roman" w:cs="Times New Roman"/>
                      <w:sz w:val="24"/>
                      <w:szCs w:val="24"/>
                    </w:rPr>
                    <w:lastRenderedPageBreak/>
                    <w:t>saskaņoti 2025.gada II cet.</w:t>
                  </w:r>
                </w:p>
              </w:tc>
              <w:tc>
                <w:tcPr>
                  <w:tcW w:w="612" w:type="pct"/>
                  <w:tcBorders>
                    <w:right w:val="single" w:sz="4" w:space="0" w:color="auto"/>
                  </w:tcBorders>
                  <w:hideMark/>
                </w:tcPr>
                <w:p w14:paraId="25105BDD" w14:textId="27FA42C2"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lastRenderedPageBreak/>
                    <w:t xml:space="preserve">2026. g. </w:t>
                  </w:r>
                  <w:r w:rsidR="00B5480D">
                    <w:rPr>
                      <w:rFonts w:ascii="Times New Roman" w:hAnsi="Times New Roman" w:cs="Times New Roman"/>
                      <w:sz w:val="24"/>
                      <w:szCs w:val="24"/>
                    </w:rPr>
                    <w:t>31. maijs</w:t>
                  </w:r>
                  <w:r w:rsidR="00B5480D" w:rsidRPr="64AB79F5">
                    <w:rPr>
                      <w:rFonts w:ascii="Times New Roman" w:hAnsi="Times New Roman" w:cs="Times New Roman"/>
                      <w:sz w:val="24"/>
                      <w:szCs w:val="24"/>
                    </w:rPr>
                    <w:t> </w:t>
                  </w:r>
                </w:p>
              </w:tc>
              <w:tc>
                <w:tcPr>
                  <w:tcW w:w="1228" w:type="pct"/>
                  <w:tcBorders>
                    <w:top w:val="single" w:sz="4" w:space="0" w:color="auto"/>
                    <w:left w:val="single" w:sz="4" w:space="0" w:color="auto"/>
                    <w:bottom w:val="single" w:sz="4" w:space="0" w:color="auto"/>
                    <w:right w:val="single" w:sz="4" w:space="0" w:color="auto"/>
                  </w:tcBorders>
                  <w:hideMark/>
                </w:tcPr>
                <w:p w14:paraId="7FA1024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360</w:t>
                  </w:r>
                </w:p>
              </w:tc>
            </w:tr>
            <w:tr w:rsidR="00F72E46" w:rsidRPr="00F72E46" w14:paraId="3B5AF127" w14:textId="77777777" w:rsidTr="64AB79F5">
              <w:tc>
                <w:tcPr>
                  <w:tcW w:w="345" w:type="pct"/>
                  <w:hideMark/>
                </w:tcPr>
                <w:p w14:paraId="5E84E22E"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w:t>
                  </w:r>
                </w:p>
              </w:tc>
              <w:tc>
                <w:tcPr>
                  <w:tcW w:w="649" w:type="pct"/>
                  <w:hideMark/>
                </w:tcPr>
                <w:p w14:paraId="2AE5E1EB"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RAKUS IS pielāgojumi un/vai jaunu IS izstrāde</w:t>
                  </w:r>
                </w:p>
              </w:tc>
              <w:tc>
                <w:tcPr>
                  <w:tcW w:w="1003" w:type="pct"/>
                  <w:hideMark/>
                </w:tcPr>
                <w:p w14:paraId="5018BABA" w14:textId="7D634922"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Tiks pielāgotas RAKUS esošās</w:t>
                  </w:r>
                  <w:r w:rsidR="00B74012">
                    <w:rPr>
                      <w:rFonts w:ascii="Times New Roman" w:hAnsi="Times New Roman" w:cs="Times New Roman"/>
                      <w:sz w:val="24"/>
                      <w:szCs w:val="24"/>
                    </w:rPr>
                    <w:t xml:space="preserve"> IS</w:t>
                  </w:r>
                  <w:r w:rsidRPr="00F72E46">
                    <w:rPr>
                      <w:rFonts w:ascii="Times New Roman" w:hAnsi="Times New Roman" w:cs="Times New Roman"/>
                      <w:sz w:val="24"/>
                      <w:szCs w:val="24"/>
                    </w:rPr>
                    <w:t xml:space="preserve"> un</w:t>
                  </w:r>
                  <w:r w:rsidR="00AF2EA8">
                    <w:rPr>
                      <w:rFonts w:ascii="Times New Roman" w:hAnsi="Times New Roman" w:cs="Times New Roman"/>
                      <w:sz w:val="24"/>
                      <w:szCs w:val="24"/>
                    </w:rPr>
                    <w:t xml:space="preserve"> </w:t>
                  </w:r>
                  <w:r w:rsidR="003E44B6">
                    <w:rPr>
                      <w:rFonts w:ascii="Times New Roman" w:hAnsi="Times New Roman" w:cs="Times New Roman"/>
                      <w:sz w:val="24"/>
                      <w:szCs w:val="24"/>
                    </w:rPr>
                    <w:t>ieviests vienots r</w:t>
                  </w:r>
                  <w:r w:rsidR="00AF2EA8">
                    <w:rPr>
                      <w:rFonts w:ascii="Times New Roman" w:hAnsi="Times New Roman" w:cs="Times New Roman"/>
                      <w:sz w:val="24"/>
                      <w:szCs w:val="24"/>
                    </w:rPr>
                    <w:t>isinājums</w:t>
                  </w:r>
                  <w:r w:rsidRPr="00F72E46">
                    <w:rPr>
                      <w:rFonts w:ascii="Times New Roman" w:hAnsi="Times New Roman" w:cs="Times New Roman"/>
                      <w:sz w:val="24"/>
                      <w:szCs w:val="24"/>
                    </w:rPr>
                    <w:t>, lai nodrošinātu:</w:t>
                  </w:r>
                </w:p>
                <w:p w14:paraId="5FC060EA" w14:textId="2E495CEB"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radīšanu un uzkrāšanu atbilstoši savstarpēji saskaņotam datu modelim;</w:t>
                  </w:r>
                </w:p>
                <w:p w14:paraId="7252C7B2"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nodošanu uz KUS onkoloģijas pacientu platformu;</w:t>
                  </w:r>
                </w:p>
                <w:p w14:paraId="6CC3FDEF" w14:textId="1C6BF163"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xml:space="preserve">- platformā uzkrāto datu attēlošanu RAKUS </w:t>
                  </w:r>
                  <w:r w:rsidR="00036C24" w:rsidRPr="00F72E46">
                    <w:rPr>
                      <w:rFonts w:ascii="Times New Roman" w:hAnsi="Times New Roman" w:cs="Times New Roman"/>
                      <w:sz w:val="24"/>
                      <w:szCs w:val="24"/>
                    </w:rPr>
                    <w:t>lietotājiem</w:t>
                  </w:r>
                </w:p>
              </w:tc>
              <w:tc>
                <w:tcPr>
                  <w:tcW w:w="381" w:type="pct"/>
                  <w:hideMark/>
                </w:tcPr>
                <w:p w14:paraId="35F1A6D9" w14:textId="4CDB7A27" w:rsidR="003A0C1A" w:rsidRPr="00F72E46" w:rsidRDefault="309D1718"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Jā</w:t>
                  </w:r>
                </w:p>
              </w:tc>
              <w:tc>
                <w:tcPr>
                  <w:tcW w:w="783" w:type="pct"/>
                  <w:hideMark/>
                </w:tcPr>
                <w:p w14:paraId="5571D49A"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2023. g. II cet.</w:t>
                  </w:r>
                </w:p>
                <w:p w14:paraId="129A9166" w14:textId="086FEAC5" w:rsidR="005735ED" w:rsidRPr="00F72E46" w:rsidRDefault="309D1718"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IKT aktivitāšu aprakstu izmaiņu pieprasījumi saskaņoti 2025.gada II cet.</w:t>
                  </w:r>
                </w:p>
              </w:tc>
              <w:tc>
                <w:tcPr>
                  <w:tcW w:w="612" w:type="pct"/>
                  <w:tcBorders>
                    <w:right w:val="single" w:sz="4" w:space="0" w:color="auto"/>
                  </w:tcBorders>
                  <w:hideMark/>
                </w:tcPr>
                <w:p w14:paraId="4EC8C33B" w14:textId="79B43560"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2026. g. </w:t>
                  </w:r>
                  <w:r w:rsidR="00B5480D">
                    <w:rPr>
                      <w:rFonts w:ascii="Times New Roman" w:hAnsi="Times New Roman" w:cs="Times New Roman"/>
                      <w:sz w:val="24"/>
                      <w:szCs w:val="24"/>
                    </w:rPr>
                    <w:t>31. maijs</w:t>
                  </w:r>
                  <w:r w:rsidRPr="64AB79F5">
                    <w:rPr>
                      <w:rFonts w:ascii="Times New Roman" w:hAnsi="Times New Roman" w:cs="Times New Roman"/>
                      <w:sz w:val="24"/>
                      <w:szCs w:val="24"/>
                    </w:rPr>
                    <w:t>.</w:t>
                  </w:r>
                </w:p>
              </w:tc>
              <w:tc>
                <w:tcPr>
                  <w:tcW w:w="1228" w:type="pct"/>
                  <w:tcBorders>
                    <w:top w:val="single" w:sz="4" w:space="0" w:color="auto"/>
                    <w:left w:val="single" w:sz="4" w:space="0" w:color="auto"/>
                    <w:bottom w:val="single" w:sz="4" w:space="0" w:color="auto"/>
                    <w:right w:val="single" w:sz="4" w:space="0" w:color="auto"/>
                  </w:tcBorders>
                  <w:hideMark/>
                </w:tcPr>
                <w:p w14:paraId="06F68BB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160</w:t>
                  </w:r>
                </w:p>
              </w:tc>
            </w:tr>
            <w:tr w:rsidR="00F72E46" w:rsidRPr="00F72E46" w14:paraId="393E60CE" w14:textId="77777777" w:rsidTr="64AB79F5">
              <w:tc>
                <w:tcPr>
                  <w:tcW w:w="345" w:type="pct"/>
                  <w:hideMark/>
                </w:tcPr>
                <w:p w14:paraId="2AE240C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w:t>
                  </w:r>
                </w:p>
              </w:tc>
              <w:tc>
                <w:tcPr>
                  <w:tcW w:w="649" w:type="pct"/>
                  <w:hideMark/>
                </w:tcPr>
                <w:p w14:paraId="44DCFE4B"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PSKUS IS pielāgojumi un/vai jaunu IS izstrāde</w:t>
                  </w:r>
                </w:p>
              </w:tc>
              <w:tc>
                <w:tcPr>
                  <w:tcW w:w="1003" w:type="pct"/>
                  <w:hideMark/>
                </w:tcPr>
                <w:p w14:paraId="6D146CD1" w14:textId="4531BFAE"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xml:space="preserve">Tiks pielāgotas PSKUS </w:t>
                  </w:r>
                  <w:r w:rsidR="00AF2EA8" w:rsidRPr="00F72E46">
                    <w:rPr>
                      <w:rFonts w:ascii="Times New Roman" w:hAnsi="Times New Roman" w:cs="Times New Roman"/>
                      <w:sz w:val="24"/>
                      <w:szCs w:val="24"/>
                    </w:rPr>
                    <w:t>esošās</w:t>
                  </w:r>
                  <w:r w:rsidR="00AF2EA8">
                    <w:rPr>
                      <w:rFonts w:ascii="Times New Roman" w:hAnsi="Times New Roman" w:cs="Times New Roman"/>
                      <w:sz w:val="24"/>
                      <w:szCs w:val="24"/>
                    </w:rPr>
                    <w:t xml:space="preserve"> IS</w:t>
                  </w:r>
                  <w:r w:rsidR="00AF2EA8" w:rsidRPr="00F72E46">
                    <w:rPr>
                      <w:rFonts w:ascii="Times New Roman" w:hAnsi="Times New Roman" w:cs="Times New Roman"/>
                      <w:sz w:val="24"/>
                      <w:szCs w:val="24"/>
                    </w:rPr>
                    <w:t xml:space="preserve"> un</w:t>
                  </w:r>
                  <w:r w:rsidR="00AF2EA8">
                    <w:rPr>
                      <w:rFonts w:ascii="Times New Roman" w:hAnsi="Times New Roman" w:cs="Times New Roman"/>
                      <w:sz w:val="24"/>
                      <w:szCs w:val="24"/>
                    </w:rPr>
                    <w:t xml:space="preserve"> ieviests vienots risinājums</w:t>
                  </w:r>
                  <w:r w:rsidR="00AF2EA8" w:rsidRPr="00F72E46">
                    <w:rPr>
                      <w:rFonts w:ascii="Times New Roman" w:hAnsi="Times New Roman" w:cs="Times New Roman"/>
                      <w:sz w:val="24"/>
                      <w:szCs w:val="24"/>
                    </w:rPr>
                    <w:t>,</w:t>
                  </w:r>
                  <w:r w:rsidRPr="00F72E46">
                    <w:rPr>
                      <w:rFonts w:ascii="Times New Roman" w:hAnsi="Times New Roman" w:cs="Times New Roman"/>
                      <w:sz w:val="24"/>
                      <w:szCs w:val="24"/>
                    </w:rPr>
                    <w:t xml:space="preserve"> lai nodrošinātu:</w:t>
                  </w:r>
                </w:p>
                <w:p w14:paraId="439F8B81"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radīšanu un uzkrāšanu atbilstoši savstarpēji saskaņotam datu modelim;</w:t>
                  </w:r>
                </w:p>
                <w:p w14:paraId="5AB7BE2F"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lastRenderedPageBreak/>
                    <w:t>- onkoloģijas pacientu datu nodošanu uz KUS onkoloģijas pacientu platformu;</w:t>
                  </w:r>
                </w:p>
                <w:p w14:paraId="5608079C" w14:textId="74181A8F"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xml:space="preserve">- platformā uzkrāto datu attēlošanu PSKUS </w:t>
                  </w:r>
                  <w:r w:rsidR="00036C24" w:rsidRPr="00F72E46">
                    <w:rPr>
                      <w:rFonts w:ascii="Times New Roman" w:hAnsi="Times New Roman" w:cs="Times New Roman"/>
                      <w:sz w:val="24"/>
                      <w:szCs w:val="24"/>
                    </w:rPr>
                    <w:t>lietotājiem</w:t>
                  </w:r>
                </w:p>
              </w:tc>
              <w:tc>
                <w:tcPr>
                  <w:tcW w:w="381" w:type="pct"/>
                  <w:hideMark/>
                </w:tcPr>
                <w:p w14:paraId="0D18D32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lastRenderedPageBreak/>
                    <w:t>Nē</w:t>
                  </w:r>
                </w:p>
              </w:tc>
              <w:tc>
                <w:tcPr>
                  <w:tcW w:w="783" w:type="pct"/>
                  <w:hideMark/>
                </w:tcPr>
                <w:p w14:paraId="3F3CC7DC"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2023. g. II cet.</w:t>
                  </w:r>
                </w:p>
                <w:p w14:paraId="0C692CBA" w14:textId="0F02C316" w:rsidR="005735ED" w:rsidRPr="00F72E46" w:rsidRDefault="309D1718"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IKT aktivitāšu aprakstu izmaiņu pieprasījumi saskaņoti 2025.gada II cet.</w:t>
                  </w:r>
                </w:p>
              </w:tc>
              <w:tc>
                <w:tcPr>
                  <w:tcW w:w="612" w:type="pct"/>
                  <w:tcBorders>
                    <w:right w:val="single" w:sz="4" w:space="0" w:color="auto"/>
                  </w:tcBorders>
                  <w:hideMark/>
                </w:tcPr>
                <w:p w14:paraId="39E59FD5" w14:textId="4A0B2503"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2026. g. </w:t>
                  </w:r>
                  <w:r w:rsidR="00B5480D">
                    <w:rPr>
                      <w:rFonts w:ascii="Times New Roman" w:hAnsi="Times New Roman" w:cs="Times New Roman"/>
                      <w:sz w:val="24"/>
                      <w:szCs w:val="24"/>
                    </w:rPr>
                    <w:t>31</w:t>
                  </w:r>
                  <w:r w:rsidRPr="64AB79F5">
                    <w:rPr>
                      <w:rFonts w:ascii="Times New Roman" w:hAnsi="Times New Roman" w:cs="Times New Roman"/>
                      <w:sz w:val="24"/>
                      <w:szCs w:val="24"/>
                    </w:rPr>
                    <w:t>.</w:t>
                  </w:r>
                  <w:r w:rsidR="00B5480D">
                    <w:rPr>
                      <w:rFonts w:ascii="Times New Roman" w:hAnsi="Times New Roman" w:cs="Times New Roman"/>
                      <w:sz w:val="24"/>
                      <w:szCs w:val="24"/>
                    </w:rPr>
                    <w:t xml:space="preserve"> maijs</w:t>
                  </w:r>
                </w:p>
              </w:tc>
              <w:tc>
                <w:tcPr>
                  <w:tcW w:w="1228" w:type="pct"/>
                  <w:tcBorders>
                    <w:top w:val="single" w:sz="4" w:space="0" w:color="auto"/>
                    <w:left w:val="single" w:sz="4" w:space="0" w:color="auto"/>
                    <w:bottom w:val="single" w:sz="4" w:space="0" w:color="auto"/>
                    <w:right w:val="single" w:sz="4" w:space="0" w:color="auto"/>
                  </w:tcBorders>
                  <w:hideMark/>
                </w:tcPr>
                <w:p w14:paraId="3931741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100</w:t>
                  </w:r>
                </w:p>
              </w:tc>
            </w:tr>
            <w:tr w:rsidR="00F72E46" w:rsidRPr="00F72E46" w14:paraId="0BE49D6F" w14:textId="77777777" w:rsidTr="64AB79F5">
              <w:tc>
                <w:tcPr>
                  <w:tcW w:w="345" w:type="pct"/>
                  <w:hideMark/>
                </w:tcPr>
                <w:p w14:paraId="2914944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4</w:t>
                  </w:r>
                </w:p>
              </w:tc>
              <w:tc>
                <w:tcPr>
                  <w:tcW w:w="649" w:type="pct"/>
                  <w:hideMark/>
                </w:tcPr>
                <w:p w14:paraId="15885E27"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BKUS IS pielāgojumi un/vai jaunu IS izstrāde</w:t>
                  </w:r>
                </w:p>
              </w:tc>
              <w:tc>
                <w:tcPr>
                  <w:tcW w:w="1003" w:type="pct"/>
                  <w:hideMark/>
                </w:tcPr>
                <w:p w14:paraId="2B90BE29" w14:textId="76ED1521"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Tiks pielāgotas BKUS esošās IS, lai nodrošinātu:</w:t>
                  </w:r>
                </w:p>
                <w:p w14:paraId="6ADBE303"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radīšanu un uzkrāšanu atbilstoši savstarpēji saskaņotam datu modelim;</w:t>
                  </w:r>
                </w:p>
                <w:p w14:paraId="10A0EC2B" w14:textId="77777777"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nodošanu uz KUS onkoloģijas pacientu platformu;</w:t>
                  </w:r>
                </w:p>
                <w:p w14:paraId="0890EDB0" w14:textId="5BBFD79C" w:rsidR="003A0C1A" w:rsidRPr="00F72E46" w:rsidRDefault="003A0C1A"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xml:space="preserve">- platformā uzkrāto datu attēlošanu BKUS </w:t>
                  </w:r>
                  <w:r w:rsidR="00036C24" w:rsidRPr="00F72E46">
                    <w:rPr>
                      <w:rFonts w:ascii="Times New Roman" w:hAnsi="Times New Roman" w:cs="Times New Roman"/>
                      <w:sz w:val="24"/>
                      <w:szCs w:val="24"/>
                    </w:rPr>
                    <w:t>lietotājiem</w:t>
                  </w:r>
                </w:p>
              </w:tc>
              <w:tc>
                <w:tcPr>
                  <w:tcW w:w="381" w:type="pct"/>
                  <w:hideMark/>
                </w:tcPr>
                <w:p w14:paraId="3AFB380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Nē</w:t>
                  </w:r>
                </w:p>
              </w:tc>
              <w:tc>
                <w:tcPr>
                  <w:tcW w:w="783" w:type="pct"/>
                  <w:hideMark/>
                </w:tcPr>
                <w:p w14:paraId="4EC760B5"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2023. g. II cet.</w:t>
                  </w:r>
                </w:p>
                <w:p w14:paraId="52A13C22" w14:textId="7C46483E" w:rsidR="005735ED" w:rsidRPr="00F72E46" w:rsidRDefault="309D1718"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IKT aktivitāšu aprakstu izmaiņu pieprasījumi saskaņoti 2025.gada II cet.</w:t>
                  </w:r>
                </w:p>
              </w:tc>
              <w:tc>
                <w:tcPr>
                  <w:tcW w:w="612" w:type="pct"/>
                  <w:tcBorders>
                    <w:right w:val="single" w:sz="4" w:space="0" w:color="auto"/>
                  </w:tcBorders>
                  <w:hideMark/>
                </w:tcPr>
                <w:p w14:paraId="0E8CCB28" w14:textId="16852888"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2026. g. </w:t>
                  </w:r>
                  <w:r w:rsidR="00B5480D">
                    <w:rPr>
                      <w:rFonts w:ascii="Times New Roman" w:hAnsi="Times New Roman" w:cs="Times New Roman"/>
                      <w:sz w:val="24"/>
                      <w:szCs w:val="24"/>
                    </w:rPr>
                    <w:t>31. maijs</w:t>
                  </w:r>
                  <w:r w:rsidRPr="64AB79F5">
                    <w:rPr>
                      <w:rFonts w:ascii="Times New Roman" w:hAnsi="Times New Roman" w:cs="Times New Roman"/>
                      <w:sz w:val="24"/>
                      <w:szCs w:val="24"/>
                    </w:rPr>
                    <w:t>.</w:t>
                  </w:r>
                </w:p>
              </w:tc>
              <w:tc>
                <w:tcPr>
                  <w:tcW w:w="1228" w:type="pct"/>
                  <w:tcBorders>
                    <w:top w:val="single" w:sz="4" w:space="0" w:color="auto"/>
                    <w:left w:val="single" w:sz="4" w:space="0" w:color="auto"/>
                    <w:bottom w:val="single" w:sz="4" w:space="0" w:color="auto"/>
                    <w:right w:val="single" w:sz="4" w:space="0" w:color="auto"/>
                  </w:tcBorders>
                  <w:hideMark/>
                </w:tcPr>
                <w:p w14:paraId="4A5A791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100</w:t>
                  </w:r>
                </w:p>
              </w:tc>
            </w:tr>
          </w:tbl>
          <w:p w14:paraId="5C786DA2"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35"/>
              <w:gridCol w:w="2024"/>
              <w:gridCol w:w="2760"/>
              <w:gridCol w:w="2116"/>
              <w:gridCol w:w="1564"/>
            </w:tblGrid>
            <w:tr w:rsidR="00F72E46" w:rsidRPr="00F72E46" w14:paraId="4F2B58B8" w14:textId="77777777" w:rsidTr="00EA2709">
              <w:tc>
                <w:tcPr>
                  <w:tcW w:w="400" w:type="pct"/>
                  <w:tcBorders>
                    <w:top w:val="outset" w:sz="6" w:space="0" w:color="414142"/>
                    <w:left w:val="outset" w:sz="6" w:space="0" w:color="414142"/>
                    <w:bottom w:val="outset" w:sz="6" w:space="0" w:color="414142"/>
                    <w:right w:val="outset" w:sz="6" w:space="0" w:color="414142"/>
                  </w:tcBorders>
                  <w:vAlign w:val="center"/>
                  <w:hideMark/>
                </w:tcPr>
                <w:p w14:paraId="1312D68B"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Skaits</w:t>
                  </w:r>
                </w:p>
              </w:tc>
              <w:tc>
                <w:tcPr>
                  <w:tcW w:w="1100" w:type="pct"/>
                  <w:tcBorders>
                    <w:top w:val="outset" w:sz="6" w:space="0" w:color="414142"/>
                    <w:left w:val="outset" w:sz="6" w:space="0" w:color="414142"/>
                    <w:bottom w:val="outset" w:sz="6" w:space="0" w:color="414142"/>
                    <w:right w:val="outset" w:sz="6" w:space="0" w:color="414142"/>
                  </w:tcBorders>
                  <w:vAlign w:val="center"/>
                  <w:hideMark/>
                </w:tcPr>
                <w:p w14:paraId="54BD3B2E"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Pakalpojums (pakalpojumu grupa)</w:t>
                  </w:r>
                </w:p>
              </w:tc>
              <w:tc>
                <w:tcPr>
                  <w:tcW w:w="1500" w:type="pct"/>
                  <w:tcBorders>
                    <w:top w:val="outset" w:sz="6" w:space="0" w:color="414142"/>
                    <w:left w:val="outset" w:sz="6" w:space="0" w:color="414142"/>
                    <w:bottom w:val="outset" w:sz="6" w:space="0" w:color="414142"/>
                    <w:right w:val="outset" w:sz="6" w:space="0" w:color="414142"/>
                  </w:tcBorders>
                  <w:vAlign w:val="center"/>
                  <w:hideMark/>
                </w:tcPr>
                <w:p w14:paraId="7A9445C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Koplietošanas pakalpojumu lietotāji (institūcijas)</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544C22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Norāde uz Ministru kabineta lēmumu par attīstības plānu</w:t>
                  </w:r>
                  <w:r w:rsidRPr="00F72E46">
                    <w:rPr>
                      <w:rFonts w:ascii="Times New Roman" w:hAnsi="Times New Roman" w:cs="Times New Roman"/>
                      <w:sz w:val="24"/>
                      <w:szCs w:val="24"/>
                      <w:vertAlign w:val="superscript"/>
                    </w:rPr>
                    <w:t>10</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59D8045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Termiņš ieviešanai (gads, ceturksnis)</w:t>
                  </w:r>
                </w:p>
              </w:tc>
            </w:tr>
            <w:tr w:rsidR="00F72E46" w:rsidRPr="00F72E46" w14:paraId="10B5F515" w14:textId="77777777" w:rsidTr="00F05CBD">
              <w:tc>
                <w:tcPr>
                  <w:tcW w:w="400" w:type="pct"/>
                  <w:tcBorders>
                    <w:top w:val="outset" w:sz="6" w:space="0" w:color="414142"/>
                    <w:left w:val="outset" w:sz="6" w:space="0" w:color="414142"/>
                    <w:bottom w:val="outset" w:sz="6" w:space="0" w:color="414142"/>
                    <w:right w:val="outset" w:sz="6" w:space="0" w:color="414142"/>
                  </w:tcBorders>
                  <w:vAlign w:val="center"/>
                  <w:hideMark/>
                </w:tcPr>
                <w:p w14:paraId="4CF75FE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c>
                <w:tcPr>
                  <w:tcW w:w="1100" w:type="pct"/>
                  <w:tcBorders>
                    <w:top w:val="outset" w:sz="6" w:space="0" w:color="414142"/>
                    <w:left w:val="outset" w:sz="6" w:space="0" w:color="414142"/>
                    <w:bottom w:val="outset" w:sz="6" w:space="0" w:color="414142"/>
                    <w:right w:val="outset" w:sz="6" w:space="0" w:color="414142"/>
                  </w:tcBorders>
                  <w:hideMark/>
                </w:tcPr>
                <w:p w14:paraId="49266786"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c>
                <w:tcPr>
                  <w:tcW w:w="1500" w:type="pct"/>
                  <w:tcBorders>
                    <w:top w:val="outset" w:sz="6" w:space="0" w:color="414142"/>
                    <w:left w:val="outset" w:sz="6" w:space="0" w:color="414142"/>
                    <w:bottom w:val="outset" w:sz="6" w:space="0" w:color="414142"/>
                    <w:right w:val="outset" w:sz="6" w:space="0" w:color="414142"/>
                  </w:tcBorders>
                  <w:hideMark/>
                </w:tcPr>
                <w:p w14:paraId="615E5446"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c>
                <w:tcPr>
                  <w:tcW w:w="1150" w:type="pct"/>
                  <w:tcBorders>
                    <w:top w:val="outset" w:sz="6" w:space="0" w:color="414142"/>
                    <w:left w:val="outset" w:sz="6" w:space="0" w:color="414142"/>
                    <w:bottom w:val="outset" w:sz="6" w:space="0" w:color="414142"/>
                    <w:right w:val="outset" w:sz="6" w:space="0" w:color="414142"/>
                  </w:tcBorders>
                  <w:hideMark/>
                </w:tcPr>
                <w:p w14:paraId="7AD3DE0A"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c>
                <w:tcPr>
                  <w:tcW w:w="850" w:type="pct"/>
                  <w:tcBorders>
                    <w:top w:val="outset" w:sz="6" w:space="0" w:color="414142"/>
                    <w:left w:val="outset" w:sz="6" w:space="0" w:color="414142"/>
                    <w:bottom w:val="outset" w:sz="6" w:space="0" w:color="414142"/>
                    <w:right w:val="outset" w:sz="6" w:space="0" w:color="414142"/>
                  </w:tcBorders>
                  <w:hideMark/>
                </w:tcPr>
                <w:p w14:paraId="2CFA12F4"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r>
          </w:tbl>
          <w:p w14:paraId="2F87E352"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36"/>
              <w:gridCol w:w="6899"/>
              <w:gridCol w:w="1564"/>
            </w:tblGrid>
            <w:tr w:rsidR="00F72E46" w:rsidRPr="00F72E46" w14:paraId="1F25B621" w14:textId="77777777" w:rsidTr="64AB79F5">
              <w:tc>
                <w:tcPr>
                  <w:tcW w:w="400" w:type="pct"/>
                  <w:tcBorders>
                    <w:top w:val="outset" w:sz="6" w:space="0" w:color="414142"/>
                    <w:left w:val="outset" w:sz="6" w:space="0" w:color="414142"/>
                    <w:bottom w:val="outset" w:sz="6" w:space="0" w:color="414142"/>
                    <w:right w:val="outset" w:sz="6" w:space="0" w:color="414142"/>
                  </w:tcBorders>
                  <w:vAlign w:val="center"/>
                  <w:hideMark/>
                </w:tcPr>
                <w:p w14:paraId="0B289F94"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Skaits</w:t>
                  </w:r>
                </w:p>
              </w:tc>
              <w:tc>
                <w:tcPr>
                  <w:tcW w:w="3750" w:type="pct"/>
                  <w:tcBorders>
                    <w:top w:val="outset" w:sz="6" w:space="0" w:color="414142"/>
                    <w:left w:val="outset" w:sz="6" w:space="0" w:color="414142"/>
                    <w:bottom w:val="outset" w:sz="6" w:space="0" w:color="414142"/>
                    <w:right w:val="outset" w:sz="6" w:space="0" w:color="414142"/>
                  </w:tcBorders>
                  <w:vAlign w:val="center"/>
                  <w:hideMark/>
                </w:tcPr>
                <w:p w14:paraId="307E9BA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Saturu raksturojošs nosaukums</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04251F1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Termiņš piekļuves nodrošināšanai (gads, ceturksnis)</w:t>
                  </w:r>
                </w:p>
              </w:tc>
            </w:tr>
            <w:tr w:rsidR="00F72E46" w:rsidRPr="00F72E46" w14:paraId="3F87208A" w14:textId="77777777" w:rsidTr="64AB79F5">
              <w:tc>
                <w:tcPr>
                  <w:tcW w:w="400" w:type="pct"/>
                  <w:tcBorders>
                    <w:top w:val="outset" w:sz="6" w:space="0" w:color="414142"/>
                    <w:left w:val="outset" w:sz="6" w:space="0" w:color="414142"/>
                    <w:bottom w:val="outset" w:sz="6" w:space="0" w:color="414142"/>
                    <w:right w:val="outset" w:sz="6" w:space="0" w:color="414142"/>
                  </w:tcBorders>
                  <w:hideMark/>
                </w:tcPr>
                <w:p w14:paraId="04C8D97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w:t>
                  </w:r>
                </w:p>
              </w:tc>
              <w:tc>
                <w:tcPr>
                  <w:tcW w:w="3750" w:type="pct"/>
                  <w:tcBorders>
                    <w:top w:val="outset" w:sz="6" w:space="0" w:color="414142"/>
                    <w:left w:val="outset" w:sz="6" w:space="0" w:color="414142"/>
                    <w:bottom w:val="outset" w:sz="6" w:space="0" w:color="414142"/>
                    <w:right w:val="outset" w:sz="6" w:space="0" w:color="414142"/>
                  </w:tcBorders>
                  <w:hideMark/>
                </w:tcPr>
                <w:p w14:paraId="284C97E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5.3.1. Onkoloģijas pacientu ārstniecības un aprūpes procesa nodrošināšanai nepieciešamie dati – diagnozes, nozīmētās un veiktās terapijas, izmeklējumi, statistiskie dati un citi dati, kas saistīti ar onkoloģijas pacienta ārstniecības un aprūpes procesu</w:t>
                  </w:r>
                </w:p>
              </w:tc>
              <w:tc>
                <w:tcPr>
                  <w:tcW w:w="850" w:type="pct"/>
                  <w:tcBorders>
                    <w:top w:val="outset" w:sz="6" w:space="0" w:color="414142"/>
                    <w:left w:val="outset" w:sz="6" w:space="0" w:color="414142"/>
                    <w:bottom w:val="outset" w:sz="6" w:space="0" w:color="414142"/>
                    <w:right w:val="outset" w:sz="6" w:space="0" w:color="414142"/>
                  </w:tcBorders>
                  <w:hideMark/>
                </w:tcPr>
                <w:p w14:paraId="1D6B7C2A" w14:textId="085529B1"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2026. g. I</w:t>
                  </w:r>
                  <w:r w:rsidR="309D1718" w:rsidRPr="64AB79F5">
                    <w:rPr>
                      <w:rFonts w:ascii="Times New Roman" w:hAnsi="Times New Roman" w:cs="Times New Roman"/>
                      <w:sz w:val="24"/>
                      <w:szCs w:val="24"/>
                    </w:rPr>
                    <w:t xml:space="preserve">I </w:t>
                  </w:r>
                  <w:r w:rsidRPr="64AB79F5">
                    <w:rPr>
                      <w:rFonts w:ascii="Times New Roman" w:hAnsi="Times New Roman" w:cs="Times New Roman"/>
                      <w:sz w:val="24"/>
                      <w:szCs w:val="24"/>
                    </w:rPr>
                    <w:t>cet.</w:t>
                  </w:r>
                </w:p>
              </w:tc>
            </w:tr>
          </w:tbl>
          <w:p w14:paraId="3DF81A56"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6. Projekta pārvaldības un īstenošanas kapacitāte</w:t>
            </w:r>
            <w:r w:rsidRPr="00F72E46">
              <w:rPr>
                <w:rFonts w:ascii="Times New Roman" w:hAnsi="Times New Roman" w:cs="Times New Roman"/>
                <w:sz w:val="24"/>
                <w:szCs w:val="24"/>
                <w:vertAlign w:val="superscript"/>
              </w:rPr>
              <w:t>11</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199"/>
            </w:tblGrid>
            <w:tr w:rsidR="00F72E46" w:rsidRPr="00F72E46" w14:paraId="30B055CC" w14:textId="77777777" w:rsidTr="64AB79F5">
              <w:tc>
                <w:tcPr>
                  <w:tcW w:w="8241" w:type="dxa"/>
                  <w:tcBorders>
                    <w:top w:val="outset" w:sz="6" w:space="0" w:color="414142"/>
                    <w:left w:val="outset" w:sz="6" w:space="0" w:color="414142"/>
                    <w:bottom w:val="outset" w:sz="6" w:space="0" w:color="414142"/>
                    <w:right w:val="outset" w:sz="6" w:space="0" w:color="414142"/>
                  </w:tcBorders>
                  <w:hideMark/>
                </w:tcPr>
                <w:p w14:paraId="721724AA"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lastRenderedPageBreak/>
                    <w:t>Projekta ietvaros partneri nodrošina iekļaujošu projekta pārvaldības modeli, kas nodrošina integrētu projekta koordinēšanu starp KUS un vienotās platformas izstrādes aktivitātēm.</w:t>
                  </w:r>
                  <w:r w:rsidRPr="00F72E46">
                    <w:rPr>
                      <w:rFonts w:ascii="Times New Roman" w:hAnsi="Times New Roman" w:cs="Times New Roman"/>
                      <w:sz w:val="24"/>
                      <w:szCs w:val="24"/>
                    </w:rPr>
                    <w:t> Atveseļošanas un noturības mehānisma plāna īstenošana un uzraudzība tiks īstenota saskaņā ar Ministru kabineta 2022. gada 14. jūlija noteikumiem Nr. 435 "Eiropas Savienības Atveseļošanas un noturības mehānisma plāna 2. komponentes "Digitālā transformācija" 2.1. reformu un investīciju virziena "Valsts pārvaldes, tai skaitā pašvaldību, digitālā transformācija" īstenošanas noteikumi".</w:t>
                  </w:r>
                </w:p>
                <w:p w14:paraId="7CE67C46" w14:textId="4AB5F869"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Projekta vadošais partneris (RAKUS) nodrošinās projekta vadītāju un PSKUS un BKUS</w:t>
                  </w:r>
                  <w:r w:rsidR="309D1718" w:rsidRPr="64AB79F5">
                    <w:rPr>
                      <w:rFonts w:ascii="Times New Roman" w:hAnsi="Times New Roman" w:cs="Times New Roman"/>
                      <w:sz w:val="24"/>
                      <w:szCs w:val="24"/>
                    </w:rPr>
                    <w:t>, un LDVC</w:t>
                  </w:r>
                  <w:r w:rsidRPr="64AB79F5">
                    <w:rPr>
                      <w:rFonts w:ascii="Times New Roman" w:hAnsi="Times New Roman" w:cs="Times New Roman"/>
                      <w:sz w:val="24"/>
                      <w:szCs w:val="24"/>
                    </w:rPr>
                    <w:t xml:space="preserve"> </w:t>
                  </w:r>
                  <w:r w:rsidR="73797D19" w:rsidRPr="64AB79F5">
                    <w:rPr>
                      <w:rFonts w:ascii="Times New Roman" w:hAnsi="Times New Roman" w:cs="Times New Roman"/>
                      <w:sz w:val="24"/>
                      <w:szCs w:val="24"/>
                    </w:rPr>
                    <w:t>–</w:t>
                  </w:r>
                  <w:r w:rsidRPr="64AB79F5">
                    <w:rPr>
                      <w:rFonts w:ascii="Times New Roman" w:hAnsi="Times New Roman" w:cs="Times New Roman"/>
                      <w:sz w:val="24"/>
                      <w:szCs w:val="24"/>
                    </w:rPr>
                    <w:t>aktivitāšu koordinatorus.</w:t>
                  </w:r>
                </w:p>
                <w:p w14:paraId="313A86A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Atbilstoši projekta struktūrai vadošais partneris (RAKUS) nodrošinās projekta partneru vadības integrēšanu projekta kopējā struktūrā. Katrs partneris atsevišķi nodrošinās projekta aktivitāšu koordinēšanu, piesaistot projekta koordinatorus.</w:t>
                  </w:r>
                </w:p>
                <w:p w14:paraId="2D4BE2C6" w14:textId="5C963B96"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Lai īstenotu aktivitātes, projektam tiks piesaistīti eksperti, kas nodrošinās arhitektūras, tehniskās dokumentācijas un programmatūras izstrādi, tādējādi nodrošinot projekta aktivitāšu faktisko īstenošanu. Aktivitātes tik</w:t>
                  </w:r>
                  <w:r w:rsidR="002620E4" w:rsidRPr="00F72E46">
                    <w:rPr>
                      <w:rFonts w:ascii="Times New Roman" w:hAnsi="Times New Roman" w:cs="Times New Roman"/>
                      <w:sz w:val="24"/>
                      <w:szCs w:val="24"/>
                    </w:rPr>
                    <w:t>s</w:t>
                  </w:r>
                  <w:r w:rsidRPr="00F72E46">
                    <w:rPr>
                      <w:rFonts w:ascii="Times New Roman" w:hAnsi="Times New Roman" w:cs="Times New Roman"/>
                      <w:sz w:val="24"/>
                      <w:szCs w:val="24"/>
                    </w:rPr>
                    <w:t xml:space="preserve"> īstenotas, organizējot darba grupas. Ekspertu pieejamība tiks nodrošināta, izmantojot ārpakalpojumu vai piesaistot iekšējos resursus.</w:t>
                  </w:r>
                </w:p>
                <w:p w14:paraId="53478B5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Projekta vadības grupā ir iekļauti visu sadarbības partneru pārstāvji.</w:t>
                  </w:r>
                </w:p>
                <w:p w14:paraId="7AB85D8A" w14:textId="7273F25D"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Projekta vadībai un īstenošanai nepieciešamais personāls ir projekta partneru rīcībā un, ja nepieciešams, tiks papildus piesaistīts, izveidojot atbilstošas amatu vietas vai piesaistot kā ārpakalpojumu. Projektā plānotais finansējums personāla izmaksu segšanai atbilstoši nepieciešamībai var tikt sadalīts starp sadarbības partneriem – RAKUS, PSKUS, BKUS</w:t>
                  </w:r>
                  <w:r w:rsidR="309D1718" w:rsidRPr="64AB79F5">
                    <w:rPr>
                      <w:rFonts w:ascii="Times New Roman" w:hAnsi="Times New Roman" w:cs="Times New Roman"/>
                      <w:sz w:val="24"/>
                      <w:szCs w:val="24"/>
                    </w:rPr>
                    <w:t xml:space="preserve"> un LDVC</w:t>
                  </w:r>
                  <w:r w:rsidRPr="64AB79F5">
                    <w:rPr>
                      <w:rFonts w:ascii="Times New Roman" w:hAnsi="Times New Roman" w:cs="Times New Roman"/>
                      <w:sz w:val="24"/>
                      <w:szCs w:val="24"/>
                    </w:rPr>
                    <w:t>.</w:t>
                  </w:r>
                </w:p>
                <w:p w14:paraId="5262BB17" w14:textId="22F1036C"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Projekta īstenošanas uzraudzību koordinē Veselības ministrija atbilstoši nozarē noteiktajai kārtībai</w:t>
                  </w:r>
                </w:p>
              </w:tc>
            </w:tr>
          </w:tbl>
          <w:p w14:paraId="77D830E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7. Izmaksu/ieguvumu analīze</w:t>
            </w:r>
            <w:r w:rsidRPr="00F72E46">
              <w:rPr>
                <w:rFonts w:ascii="Times New Roman" w:hAnsi="Times New Roman" w:cs="Times New Roman"/>
                <w:sz w:val="24"/>
                <w:szCs w:val="24"/>
                <w:vertAlign w:val="superscript"/>
              </w:rPr>
              <w:t>12</w:t>
            </w:r>
            <w:r w:rsidRPr="00F72E46">
              <w:rPr>
                <w:rFonts w:ascii="Times New Roman" w:hAnsi="Times New Roman" w:cs="Times New Roman"/>
                <w:b/>
                <w:bCs/>
                <w:sz w:val="24"/>
                <w:szCs w:val="24"/>
              </w:rPr>
              <w:t>,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199"/>
            </w:tblGrid>
            <w:tr w:rsidR="00F72E46" w:rsidRPr="00F72E46" w14:paraId="01EC94D7" w14:textId="77777777" w:rsidTr="00F05CBD">
              <w:tc>
                <w:tcPr>
                  <w:tcW w:w="8241" w:type="dxa"/>
                  <w:tcBorders>
                    <w:top w:val="outset" w:sz="6" w:space="0" w:color="414142"/>
                    <w:left w:val="outset" w:sz="6" w:space="0" w:color="414142"/>
                    <w:bottom w:val="outset" w:sz="6" w:space="0" w:color="414142"/>
                    <w:right w:val="outset" w:sz="6" w:space="0" w:color="414142"/>
                  </w:tcBorders>
                  <w:hideMark/>
                </w:tcPr>
                <w:p w14:paraId="3BD9C851"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Izmaksu un ieguvumu analīze ir balstīta uz problēmu risināšanu, transformējot procesus un nodrošinot datu apmaiņu starp iesaistītajām pusēm.</w:t>
                  </w:r>
                </w:p>
                <w:p w14:paraId="2CE6AB8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Izmaksu un ieguvumu analīzes ietvaros identificēti šādi ieguvumu scenāriji, kas rada sociālekonomisko ieguvumu no KUS platformas izstrādes aktivitātēm un vienota datu modeļa izveides:</w:t>
                  </w:r>
                </w:p>
                <w:p w14:paraId="2850688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i/>
                      <w:iCs/>
                      <w:sz w:val="24"/>
                      <w:szCs w:val="24"/>
                    </w:rPr>
                    <w:t>-  Ieviešot KUS platformu,</w:t>
                  </w:r>
                  <w:r w:rsidRPr="00F72E46">
                    <w:rPr>
                      <w:rFonts w:ascii="Times New Roman" w:hAnsi="Times New Roman" w:cs="Times New Roman"/>
                      <w:sz w:val="24"/>
                      <w:szCs w:val="24"/>
                    </w:rPr>
                    <w:t> </w:t>
                  </w:r>
                  <w:r w:rsidRPr="00F72E46">
                    <w:rPr>
                      <w:rFonts w:ascii="Times New Roman" w:hAnsi="Times New Roman" w:cs="Times New Roman"/>
                      <w:i/>
                      <w:iCs/>
                      <w:sz w:val="24"/>
                      <w:szCs w:val="24"/>
                    </w:rPr>
                    <w:t>samazinās laiks, kas ārstniecības personai nepieciešams, lai apkopotu datus par pacientu.</w:t>
                  </w:r>
                </w:p>
                <w:p w14:paraId="2FC64215" w14:textId="69BF58A8"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Ieguvums veidojas, jo projekta ietvaros tiek pielāgotas KUS sistēmas, kas nodrošina vienotu onkoloģijas pacientu datu digitālu pieejamību datu apmaiņai. Tā rezultātā veidojas laika ieguvums visu KUS ārstniecības personāla iesaistei, lai apkopotu datus par pacientu. Izpētes laikā tika identificēts, ka vidēji ārstniecības personāls patērē 2 h uz katru pacientu, lai apkopotu iepriekš KUS saņemto pakalpojumu un analīžu datus un varētu atbilstoši veikt turpmāko ārstēšanu.</w:t>
                  </w:r>
                </w:p>
                <w:p w14:paraId="63E1E6F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Onkoloģijā iesaistīto darbinieku skaits – 360 cilvēki</w:t>
                  </w:r>
                </w:p>
                <w:p w14:paraId="6C66423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Vienas cilvēkstundas cena – 25 </w:t>
                  </w:r>
                  <w:proofErr w:type="spellStart"/>
                  <w:r w:rsidRPr="00F72E46">
                    <w:rPr>
                      <w:rFonts w:ascii="Times New Roman" w:hAnsi="Times New Roman" w:cs="Times New Roman"/>
                      <w:i/>
                      <w:iCs/>
                      <w:sz w:val="24"/>
                      <w:szCs w:val="24"/>
                    </w:rPr>
                    <w:t>euro</w:t>
                  </w:r>
                  <w:proofErr w:type="spellEnd"/>
                  <w:r w:rsidRPr="00F72E46">
                    <w:rPr>
                      <w:rFonts w:ascii="Times New Roman" w:hAnsi="Times New Roman" w:cs="Times New Roman"/>
                      <w:sz w:val="24"/>
                      <w:szCs w:val="24"/>
                    </w:rPr>
                    <w:t>/h</w:t>
                  </w:r>
                </w:p>
                <w:p w14:paraId="2A06D91A"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Pacientu apjoms gadā – 40 000</w:t>
                  </w:r>
                </w:p>
                <w:p w14:paraId="63C37902" w14:textId="6E6229CE"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 xml:space="preserve">Ieguvums </w:t>
                  </w:r>
                  <w:r w:rsidR="008F38B9" w:rsidRPr="00F72E46">
                    <w:rPr>
                      <w:rFonts w:ascii="Times New Roman" w:hAnsi="Times New Roman" w:cs="Times New Roman"/>
                      <w:b/>
                      <w:bCs/>
                      <w:sz w:val="24"/>
                      <w:szCs w:val="24"/>
                    </w:rPr>
                    <w:t>vienā</w:t>
                  </w:r>
                  <w:r w:rsidRPr="00F72E46">
                    <w:rPr>
                      <w:rFonts w:ascii="Times New Roman" w:hAnsi="Times New Roman" w:cs="Times New Roman"/>
                      <w:b/>
                      <w:bCs/>
                      <w:sz w:val="24"/>
                      <w:szCs w:val="24"/>
                    </w:rPr>
                    <w:t xml:space="preserve"> gadā – 2 000 000,00 </w:t>
                  </w:r>
                  <w:proofErr w:type="spellStart"/>
                  <w:r w:rsidRPr="00F72E46">
                    <w:rPr>
                      <w:rFonts w:ascii="Times New Roman" w:hAnsi="Times New Roman" w:cs="Times New Roman"/>
                      <w:b/>
                      <w:bCs/>
                      <w:i/>
                      <w:iCs/>
                      <w:sz w:val="24"/>
                      <w:szCs w:val="24"/>
                    </w:rPr>
                    <w:t>euro</w:t>
                  </w:r>
                  <w:proofErr w:type="spellEnd"/>
                </w:p>
                <w:p w14:paraId="5D063544" w14:textId="3D39D2A0"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 xml:space="preserve">Ieguvums </w:t>
                  </w:r>
                  <w:r w:rsidR="008F38B9" w:rsidRPr="00F72E46">
                    <w:rPr>
                      <w:rFonts w:ascii="Times New Roman" w:hAnsi="Times New Roman" w:cs="Times New Roman"/>
                      <w:b/>
                      <w:bCs/>
                      <w:sz w:val="24"/>
                      <w:szCs w:val="24"/>
                    </w:rPr>
                    <w:t>piecos</w:t>
                  </w:r>
                  <w:r w:rsidRPr="00F72E46">
                    <w:rPr>
                      <w:rFonts w:ascii="Times New Roman" w:hAnsi="Times New Roman" w:cs="Times New Roman"/>
                      <w:b/>
                      <w:bCs/>
                      <w:sz w:val="24"/>
                      <w:szCs w:val="24"/>
                    </w:rPr>
                    <w:t xml:space="preserve"> gados – 10 000 000,00 </w:t>
                  </w:r>
                  <w:proofErr w:type="spellStart"/>
                  <w:r w:rsidRPr="00F72E46">
                    <w:rPr>
                      <w:rFonts w:ascii="Times New Roman" w:hAnsi="Times New Roman" w:cs="Times New Roman"/>
                      <w:b/>
                      <w:bCs/>
                      <w:i/>
                      <w:iCs/>
                      <w:sz w:val="24"/>
                      <w:szCs w:val="24"/>
                    </w:rPr>
                    <w:t>euro</w:t>
                  </w:r>
                  <w:proofErr w:type="spellEnd"/>
                </w:p>
                <w:p w14:paraId="52364EF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i/>
                      <w:iCs/>
                      <w:sz w:val="24"/>
                      <w:szCs w:val="24"/>
                    </w:rPr>
                    <w:t>-  Ieviešot KUS platformu,</w:t>
                  </w:r>
                  <w:r w:rsidRPr="00F72E46">
                    <w:rPr>
                      <w:rFonts w:ascii="Times New Roman" w:hAnsi="Times New Roman" w:cs="Times New Roman"/>
                      <w:sz w:val="24"/>
                      <w:szCs w:val="24"/>
                    </w:rPr>
                    <w:t> </w:t>
                  </w:r>
                  <w:r w:rsidRPr="00F72E46">
                    <w:rPr>
                      <w:rFonts w:ascii="Times New Roman" w:hAnsi="Times New Roman" w:cs="Times New Roman"/>
                      <w:i/>
                      <w:iCs/>
                      <w:sz w:val="24"/>
                      <w:szCs w:val="24"/>
                    </w:rPr>
                    <w:t>samazinās atkārtoto izmeklējumu skaits, kuri tiek veikti, jo nav pieejami dati par iepriekš veiktajiem izmeklējumiem citā KUS.</w:t>
                  </w:r>
                </w:p>
                <w:p w14:paraId="08811F3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Onkoloģijā iesaistīto personu skaits – 360 cilvēki</w:t>
                  </w:r>
                </w:p>
                <w:p w14:paraId="5C9782FB"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Vienas cilvēkstundas cena – 25 </w:t>
                  </w:r>
                  <w:proofErr w:type="spellStart"/>
                  <w:r w:rsidRPr="00F72E46">
                    <w:rPr>
                      <w:rFonts w:ascii="Times New Roman" w:hAnsi="Times New Roman" w:cs="Times New Roman"/>
                      <w:i/>
                      <w:iCs/>
                      <w:sz w:val="24"/>
                      <w:szCs w:val="24"/>
                    </w:rPr>
                    <w:t>euro</w:t>
                  </w:r>
                  <w:proofErr w:type="spellEnd"/>
                  <w:r w:rsidRPr="00F72E46">
                    <w:rPr>
                      <w:rFonts w:ascii="Times New Roman" w:hAnsi="Times New Roman" w:cs="Times New Roman"/>
                      <w:sz w:val="24"/>
                      <w:szCs w:val="24"/>
                    </w:rPr>
                    <w:t>/h</w:t>
                  </w:r>
                </w:p>
                <w:p w14:paraId="3B88B6A5" w14:textId="412F9A6C"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Pacientu </w:t>
                  </w:r>
                  <w:r w:rsidR="00EA2709" w:rsidRPr="00F72E46">
                    <w:rPr>
                      <w:rFonts w:ascii="Times New Roman" w:hAnsi="Times New Roman" w:cs="Times New Roman"/>
                      <w:sz w:val="24"/>
                      <w:szCs w:val="24"/>
                    </w:rPr>
                    <w:t>skait</w:t>
                  </w:r>
                  <w:r w:rsidRPr="00F72E46">
                    <w:rPr>
                      <w:rFonts w:ascii="Times New Roman" w:hAnsi="Times New Roman" w:cs="Times New Roman"/>
                      <w:sz w:val="24"/>
                      <w:szCs w:val="24"/>
                    </w:rPr>
                    <w:t>s gadā – 40 000</w:t>
                  </w:r>
                </w:p>
                <w:p w14:paraId="06D39B2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Radioloģijas izmeklējumu skaits gadā – 100 000</w:t>
                  </w:r>
                </w:p>
                <w:p w14:paraId="7EF3FE6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Citu analīžu skaits gadā – 350 000</w:t>
                  </w:r>
                </w:p>
                <w:p w14:paraId="7172DFE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lastRenderedPageBreak/>
                    <w:t>Radioloģijas izmeklējumu vidējā cena – 200 </w:t>
                  </w:r>
                  <w:proofErr w:type="spellStart"/>
                  <w:r w:rsidRPr="00F72E46">
                    <w:rPr>
                      <w:rFonts w:ascii="Times New Roman" w:hAnsi="Times New Roman" w:cs="Times New Roman"/>
                      <w:i/>
                      <w:iCs/>
                      <w:sz w:val="24"/>
                      <w:szCs w:val="24"/>
                    </w:rPr>
                    <w:t>euro</w:t>
                  </w:r>
                  <w:proofErr w:type="spellEnd"/>
                </w:p>
                <w:p w14:paraId="5F05575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Citu analīžu vidējā cena – 75 </w:t>
                  </w:r>
                  <w:proofErr w:type="spellStart"/>
                  <w:r w:rsidRPr="00F72E46">
                    <w:rPr>
                      <w:rFonts w:ascii="Times New Roman" w:hAnsi="Times New Roman" w:cs="Times New Roman"/>
                      <w:i/>
                      <w:iCs/>
                      <w:sz w:val="24"/>
                      <w:szCs w:val="24"/>
                    </w:rPr>
                    <w:t>euro</w:t>
                  </w:r>
                  <w:proofErr w:type="spellEnd"/>
                </w:p>
                <w:p w14:paraId="6AF4B97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Prognozētais ieguvums gadā saistībā ar atkārtoti veikto analīžu apjoma samazināšanos – 10 %</w:t>
                  </w:r>
                </w:p>
                <w:p w14:paraId="497CC72D" w14:textId="5AF8A7A5"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Ieguvums</w:t>
                  </w:r>
                  <w:r w:rsidRPr="00F72E46">
                    <w:rPr>
                      <w:rFonts w:ascii="Times New Roman" w:hAnsi="Times New Roman" w:cs="Times New Roman"/>
                      <w:sz w:val="24"/>
                      <w:szCs w:val="24"/>
                    </w:rPr>
                    <w:t> </w:t>
                  </w:r>
                  <w:r w:rsidR="008F38B9" w:rsidRPr="00F72E46">
                    <w:rPr>
                      <w:rFonts w:ascii="Times New Roman" w:hAnsi="Times New Roman" w:cs="Times New Roman"/>
                      <w:b/>
                      <w:bCs/>
                      <w:sz w:val="24"/>
                      <w:szCs w:val="24"/>
                    </w:rPr>
                    <w:t>vienā</w:t>
                  </w:r>
                  <w:r w:rsidRPr="00F72E46">
                    <w:rPr>
                      <w:rFonts w:ascii="Times New Roman" w:hAnsi="Times New Roman" w:cs="Times New Roman"/>
                      <w:b/>
                      <w:bCs/>
                      <w:sz w:val="24"/>
                      <w:szCs w:val="24"/>
                    </w:rPr>
                    <w:t xml:space="preserve"> gadā – 4 625 000,00 </w:t>
                  </w:r>
                  <w:proofErr w:type="spellStart"/>
                  <w:r w:rsidRPr="00F72E46">
                    <w:rPr>
                      <w:rFonts w:ascii="Times New Roman" w:hAnsi="Times New Roman" w:cs="Times New Roman"/>
                      <w:b/>
                      <w:bCs/>
                      <w:i/>
                      <w:iCs/>
                      <w:sz w:val="24"/>
                      <w:szCs w:val="24"/>
                    </w:rPr>
                    <w:t>euro</w:t>
                  </w:r>
                  <w:proofErr w:type="spellEnd"/>
                </w:p>
                <w:p w14:paraId="52F1F060" w14:textId="0252AF5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 xml:space="preserve">Ieguvums </w:t>
                  </w:r>
                  <w:r w:rsidR="008F38B9" w:rsidRPr="00F72E46">
                    <w:rPr>
                      <w:rFonts w:ascii="Times New Roman" w:hAnsi="Times New Roman" w:cs="Times New Roman"/>
                      <w:b/>
                      <w:bCs/>
                      <w:sz w:val="24"/>
                      <w:szCs w:val="24"/>
                    </w:rPr>
                    <w:t>piecos</w:t>
                  </w:r>
                  <w:r w:rsidRPr="00F72E46">
                    <w:rPr>
                      <w:rFonts w:ascii="Times New Roman" w:hAnsi="Times New Roman" w:cs="Times New Roman"/>
                      <w:b/>
                      <w:bCs/>
                      <w:sz w:val="24"/>
                      <w:szCs w:val="24"/>
                    </w:rPr>
                    <w:t xml:space="preserve"> gados – 23 125 000,00 </w:t>
                  </w:r>
                  <w:proofErr w:type="spellStart"/>
                  <w:r w:rsidRPr="00F72E46">
                    <w:rPr>
                      <w:rFonts w:ascii="Times New Roman" w:hAnsi="Times New Roman" w:cs="Times New Roman"/>
                      <w:b/>
                      <w:bCs/>
                      <w:i/>
                      <w:iCs/>
                      <w:sz w:val="24"/>
                      <w:szCs w:val="24"/>
                    </w:rPr>
                    <w:t>euro</w:t>
                  </w:r>
                  <w:proofErr w:type="spellEnd"/>
                </w:p>
                <w:p w14:paraId="269F635A" w14:textId="77777777" w:rsidR="003A0C1A" w:rsidRPr="00F72E46" w:rsidRDefault="003A0C1A" w:rsidP="00F72E46">
                  <w:pPr>
                    <w:spacing w:after="0" w:line="240" w:lineRule="auto"/>
                    <w:jc w:val="both"/>
                    <w:rPr>
                      <w:rFonts w:ascii="Times New Roman" w:hAnsi="Times New Roman" w:cs="Times New Roman"/>
                      <w:i/>
                      <w:iCs/>
                      <w:sz w:val="24"/>
                      <w:szCs w:val="24"/>
                    </w:rPr>
                  </w:pPr>
                  <w:r w:rsidRPr="00F72E46">
                    <w:rPr>
                      <w:rFonts w:ascii="Times New Roman" w:hAnsi="Times New Roman" w:cs="Times New Roman"/>
                      <w:i/>
                      <w:iCs/>
                      <w:sz w:val="24"/>
                      <w:szCs w:val="24"/>
                    </w:rPr>
                    <w:t>-  Ieviešot KUS platformu, paredzēts nodrošināt uzraugošā ārsta regulāro konsultāciju klātienes vizīšu skaita samazinājumu, jo KUS veiktie izmeklējumi būs savstarpēji koplietojami un tādēļ pacientiem no attālākiem reģioniem nebūs nepieciešamības veikt klātienes vizīti.</w:t>
                  </w:r>
                </w:p>
                <w:p w14:paraId="4BB32A51"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Ieguvuma matemātiskie apstākļi:</w:t>
                  </w:r>
                </w:p>
                <w:p w14:paraId="336B4F3A"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Iedzīvotāju skaita proporcija, kuri dzīvo ārpus Rīgas, – 54 %</w:t>
                  </w:r>
                </w:p>
                <w:p w14:paraId="36CB29D4"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Pacientu skaits gadā – 40 000</w:t>
                  </w:r>
                </w:p>
                <w:p w14:paraId="2B1087FA"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Pacientu skaits atbilstoši iedzīvotāju skaita proporcijai, kuri dzīvo ārpus Rīgas, – 21 600</w:t>
                  </w:r>
                </w:p>
                <w:p w14:paraId="343D531E"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Pārvietošanās paradumi reģionos</w:t>
                  </w:r>
                  <w:r w:rsidRPr="00F72E46">
                    <w:rPr>
                      <w:rFonts w:ascii="Times New Roman" w:hAnsi="Times New Roman" w:cs="Times New Roman"/>
                      <w:sz w:val="24"/>
                      <w:szCs w:val="24"/>
                      <w:vertAlign w:val="superscript"/>
                    </w:rPr>
                    <w:t>13</w:t>
                  </w:r>
                  <w:r w:rsidRPr="00F72E46">
                    <w:rPr>
                      <w:rFonts w:ascii="Times New Roman" w:hAnsi="Times New Roman" w:cs="Times New Roman"/>
                      <w:sz w:val="24"/>
                      <w:szCs w:val="24"/>
                    </w:rPr>
                    <w:t>:</w:t>
                  </w:r>
                </w:p>
                <w:p w14:paraId="2FAA82D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Zemgales reģions</w:t>
                  </w:r>
                </w:p>
                <w:p w14:paraId="3B69220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vieglais auto – 55 %</w:t>
                  </w:r>
                </w:p>
                <w:p w14:paraId="4B4B56C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sabiedriskais transports – 5 %</w:t>
                  </w:r>
                </w:p>
                <w:p w14:paraId="244D3A9B"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Kurzemes reģions</w:t>
                  </w:r>
                </w:p>
                <w:p w14:paraId="41CE2121"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vieglais auto – 56 %</w:t>
                  </w:r>
                </w:p>
                <w:p w14:paraId="1BD9BA2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sabiedriskais transports – 4 %</w:t>
                  </w:r>
                </w:p>
                <w:p w14:paraId="0AC6D80A"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Latgales reģions</w:t>
                  </w:r>
                </w:p>
                <w:p w14:paraId="095AACC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vieglais auto – 53 %</w:t>
                  </w:r>
                </w:p>
                <w:p w14:paraId="76A25FF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sabiedriskais transports – 3 %</w:t>
                  </w:r>
                </w:p>
                <w:p w14:paraId="4E49AB74"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Vidzemes reģions</w:t>
                  </w:r>
                </w:p>
                <w:p w14:paraId="7B4357AE"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vieglais auto – 54 %</w:t>
                  </w:r>
                </w:p>
                <w:p w14:paraId="6187A68B"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sabiedriskais transports – 2 %</w:t>
                  </w:r>
                </w:p>
                <w:p w14:paraId="2C0D17E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Pierīgas reģions</w:t>
                  </w:r>
                </w:p>
                <w:p w14:paraId="0D5B1153"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vieglais auto – 59 %</w:t>
                  </w:r>
                </w:p>
                <w:p w14:paraId="79B4622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sabiedriskais transports – 3 %</w:t>
                  </w:r>
                </w:p>
                <w:p w14:paraId="1826A3E7"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Vidējie rādītāji:</w:t>
                  </w:r>
                </w:p>
                <w:p w14:paraId="1D6A82B4"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Vieglais auto – 55,4 %</w:t>
                  </w:r>
                </w:p>
                <w:p w14:paraId="1A24E632"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Sabiedriskais transports – 3,4 %</w:t>
                  </w:r>
                </w:p>
                <w:p w14:paraId="149FC57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Viena pacienta vidējais nobraukto km apjoms, dodoties vizītē pie ārsta (aprēķins veikts, par pamatu ņemot vidējo aprēķinu), – 29 km</w:t>
                  </w:r>
                </w:p>
                <w:p w14:paraId="5067FE29" w14:textId="267A000D"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Viena km vidējās izmaksas, braucot ar auto</w:t>
                  </w:r>
                  <w:r w:rsidRPr="00F72E46">
                    <w:rPr>
                      <w:rFonts w:ascii="Times New Roman" w:hAnsi="Times New Roman" w:cs="Times New Roman"/>
                      <w:sz w:val="24"/>
                      <w:szCs w:val="24"/>
                      <w:vertAlign w:val="superscript"/>
                    </w:rPr>
                    <w:t>14</w:t>
                  </w:r>
                  <w:r w:rsidRPr="00F72E46">
                    <w:rPr>
                      <w:rFonts w:ascii="Times New Roman" w:hAnsi="Times New Roman" w:cs="Times New Roman"/>
                      <w:sz w:val="24"/>
                      <w:szCs w:val="24"/>
                    </w:rPr>
                    <w:t>, – 0,1</w:t>
                  </w:r>
                  <w:r w:rsidR="004E233F" w:rsidRPr="00F72E46">
                    <w:rPr>
                      <w:rFonts w:ascii="Times New Roman" w:hAnsi="Times New Roman" w:cs="Times New Roman"/>
                      <w:sz w:val="24"/>
                      <w:szCs w:val="24"/>
                    </w:rPr>
                    <w:t>7</w:t>
                  </w:r>
                  <w:r w:rsidRPr="00F72E46">
                    <w:rPr>
                      <w:rFonts w:ascii="Times New Roman" w:hAnsi="Times New Roman" w:cs="Times New Roman"/>
                      <w:sz w:val="24"/>
                      <w:szCs w:val="24"/>
                    </w:rPr>
                    <w:t> </w:t>
                  </w:r>
                  <w:proofErr w:type="spellStart"/>
                  <w:r w:rsidRPr="00F72E46">
                    <w:rPr>
                      <w:rFonts w:ascii="Times New Roman" w:hAnsi="Times New Roman" w:cs="Times New Roman"/>
                      <w:i/>
                      <w:iCs/>
                      <w:sz w:val="24"/>
                      <w:szCs w:val="24"/>
                    </w:rPr>
                    <w:t>euro</w:t>
                  </w:r>
                  <w:proofErr w:type="spellEnd"/>
                </w:p>
                <w:p w14:paraId="408E5C1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Viena km vidējās izmaksas, braucot ar sabiedrisko transportu</w:t>
                  </w:r>
                  <w:r w:rsidRPr="00F72E46">
                    <w:rPr>
                      <w:rFonts w:ascii="Times New Roman" w:hAnsi="Times New Roman" w:cs="Times New Roman"/>
                      <w:sz w:val="24"/>
                      <w:szCs w:val="24"/>
                      <w:vertAlign w:val="superscript"/>
                    </w:rPr>
                    <w:t>15</w:t>
                  </w:r>
                  <w:r w:rsidRPr="00F72E46">
                    <w:rPr>
                      <w:rFonts w:ascii="Times New Roman" w:hAnsi="Times New Roman" w:cs="Times New Roman"/>
                      <w:sz w:val="24"/>
                      <w:szCs w:val="24"/>
                    </w:rPr>
                    <w:t>, – 0,05 </w:t>
                  </w:r>
                  <w:proofErr w:type="spellStart"/>
                  <w:r w:rsidRPr="00F72E46">
                    <w:rPr>
                      <w:rFonts w:ascii="Times New Roman" w:hAnsi="Times New Roman" w:cs="Times New Roman"/>
                      <w:i/>
                      <w:iCs/>
                      <w:sz w:val="24"/>
                      <w:szCs w:val="24"/>
                    </w:rPr>
                    <w:t>euro</w:t>
                  </w:r>
                  <w:proofErr w:type="spellEnd"/>
                </w:p>
                <w:p w14:paraId="3070899F" w14:textId="3DC3D9A0"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Ieguvums no</w:t>
                  </w:r>
                  <w:r w:rsidRPr="00F72E46">
                    <w:rPr>
                      <w:rFonts w:ascii="Times New Roman" w:hAnsi="Times New Roman" w:cs="Times New Roman"/>
                      <w:sz w:val="24"/>
                      <w:szCs w:val="24"/>
                    </w:rPr>
                    <w:t> </w:t>
                  </w:r>
                  <w:r w:rsidRPr="00F72E46">
                    <w:rPr>
                      <w:rFonts w:ascii="Times New Roman" w:hAnsi="Times New Roman" w:cs="Times New Roman"/>
                      <w:b/>
                      <w:bCs/>
                      <w:sz w:val="24"/>
                      <w:szCs w:val="24"/>
                    </w:rPr>
                    <w:t xml:space="preserve">elektroniskas datu apmaiņas </w:t>
                  </w:r>
                  <w:r w:rsidR="008F38B9" w:rsidRPr="00F72E46">
                    <w:rPr>
                      <w:rFonts w:ascii="Times New Roman" w:hAnsi="Times New Roman" w:cs="Times New Roman"/>
                      <w:b/>
                      <w:bCs/>
                      <w:sz w:val="24"/>
                      <w:szCs w:val="24"/>
                    </w:rPr>
                    <w:t>vienā</w:t>
                  </w:r>
                  <w:r w:rsidRPr="00F72E46">
                    <w:rPr>
                      <w:rFonts w:ascii="Times New Roman" w:hAnsi="Times New Roman" w:cs="Times New Roman"/>
                      <w:b/>
                      <w:bCs/>
                      <w:sz w:val="24"/>
                      <w:szCs w:val="24"/>
                    </w:rPr>
                    <w:t xml:space="preserve"> gadā – </w:t>
                  </w:r>
                  <w:r w:rsidR="00797CCC" w:rsidRPr="00F72E46">
                    <w:rPr>
                      <w:rFonts w:ascii="Times New Roman" w:hAnsi="Times New Roman" w:cs="Times New Roman"/>
                      <w:b/>
                      <w:bCs/>
                      <w:sz w:val="24"/>
                      <w:szCs w:val="24"/>
                    </w:rPr>
                    <w:t>60</w:t>
                  </w:r>
                  <w:r w:rsidRPr="00F72E46">
                    <w:rPr>
                      <w:rFonts w:ascii="Times New Roman" w:hAnsi="Times New Roman" w:cs="Times New Roman"/>
                      <w:b/>
                      <w:bCs/>
                      <w:sz w:val="24"/>
                      <w:szCs w:val="24"/>
                    </w:rPr>
                    <w:t xml:space="preserve"> </w:t>
                  </w:r>
                  <w:r w:rsidR="00797CCC" w:rsidRPr="00F72E46">
                    <w:rPr>
                      <w:rFonts w:ascii="Times New Roman" w:hAnsi="Times New Roman" w:cs="Times New Roman"/>
                      <w:b/>
                      <w:bCs/>
                      <w:sz w:val="24"/>
                      <w:szCs w:val="24"/>
                    </w:rPr>
                    <w:t>060</w:t>
                  </w:r>
                  <w:r w:rsidRPr="00F72E46">
                    <w:rPr>
                      <w:rFonts w:ascii="Times New Roman" w:hAnsi="Times New Roman" w:cs="Times New Roman"/>
                      <w:b/>
                      <w:bCs/>
                      <w:sz w:val="24"/>
                      <w:szCs w:val="24"/>
                    </w:rPr>
                    <w:t>,00 </w:t>
                  </w:r>
                  <w:proofErr w:type="spellStart"/>
                  <w:r w:rsidRPr="00F72E46">
                    <w:rPr>
                      <w:rFonts w:ascii="Times New Roman" w:hAnsi="Times New Roman" w:cs="Times New Roman"/>
                      <w:b/>
                      <w:bCs/>
                      <w:i/>
                      <w:iCs/>
                      <w:sz w:val="24"/>
                      <w:szCs w:val="24"/>
                    </w:rPr>
                    <w:t>euro</w:t>
                  </w:r>
                  <w:proofErr w:type="spellEnd"/>
                </w:p>
                <w:p w14:paraId="685C5E5E" w14:textId="14F22538"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 xml:space="preserve">Ieguvums no elektroniskas datu apmaiņas </w:t>
                  </w:r>
                  <w:r w:rsidR="008F38B9" w:rsidRPr="00F72E46">
                    <w:rPr>
                      <w:rFonts w:ascii="Times New Roman" w:hAnsi="Times New Roman" w:cs="Times New Roman"/>
                      <w:b/>
                      <w:bCs/>
                      <w:sz w:val="24"/>
                      <w:szCs w:val="24"/>
                    </w:rPr>
                    <w:t>piecos</w:t>
                  </w:r>
                  <w:r w:rsidRPr="00F72E46">
                    <w:rPr>
                      <w:rFonts w:ascii="Times New Roman" w:hAnsi="Times New Roman" w:cs="Times New Roman"/>
                      <w:b/>
                      <w:bCs/>
                      <w:sz w:val="24"/>
                      <w:szCs w:val="24"/>
                    </w:rPr>
                    <w:t xml:space="preserve"> gados – </w:t>
                  </w:r>
                  <w:r w:rsidR="00797CCC" w:rsidRPr="00F72E46">
                    <w:rPr>
                      <w:rFonts w:ascii="Times New Roman" w:hAnsi="Times New Roman" w:cs="Times New Roman"/>
                      <w:b/>
                      <w:bCs/>
                      <w:sz w:val="24"/>
                      <w:szCs w:val="24"/>
                    </w:rPr>
                    <w:t>30</w:t>
                  </w:r>
                  <w:r w:rsidRPr="00F72E46">
                    <w:rPr>
                      <w:rFonts w:ascii="Times New Roman" w:hAnsi="Times New Roman" w:cs="Times New Roman"/>
                      <w:b/>
                      <w:bCs/>
                      <w:sz w:val="24"/>
                      <w:szCs w:val="24"/>
                    </w:rPr>
                    <w:t xml:space="preserve">0 </w:t>
                  </w:r>
                  <w:r w:rsidR="00797CCC" w:rsidRPr="00F72E46">
                    <w:rPr>
                      <w:rFonts w:ascii="Times New Roman" w:hAnsi="Times New Roman" w:cs="Times New Roman"/>
                      <w:b/>
                      <w:bCs/>
                      <w:sz w:val="24"/>
                      <w:szCs w:val="24"/>
                    </w:rPr>
                    <w:t>3</w:t>
                  </w:r>
                  <w:r w:rsidRPr="00F72E46">
                    <w:rPr>
                      <w:rFonts w:ascii="Times New Roman" w:hAnsi="Times New Roman" w:cs="Times New Roman"/>
                      <w:b/>
                      <w:bCs/>
                      <w:sz w:val="24"/>
                      <w:szCs w:val="24"/>
                    </w:rPr>
                    <w:t>00,00 </w:t>
                  </w:r>
                  <w:proofErr w:type="spellStart"/>
                  <w:r w:rsidRPr="00F72E46">
                    <w:rPr>
                      <w:rFonts w:ascii="Times New Roman" w:hAnsi="Times New Roman" w:cs="Times New Roman"/>
                      <w:b/>
                      <w:bCs/>
                      <w:i/>
                      <w:iCs/>
                      <w:sz w:val="24"/>
                      <w:szCs w:val="24"/>
                    </w:rPr>
                    <w:t>euro</w:t>
                  </w:r>
                  <w:proofErr w:type="spellEnd"/>
                </w:p>
                <w:p w14:paraId="3A9D328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Plānotais sociālekonomiskais ieguvums, pilnveidojot KUS savstarpējo datu apmaiņu:</w:t>
                  </w:r>
                </w:p>
                <w:p w14:paraId="3BA88B4F" w14:textId="6CE2C92D" w:rsidR="003A0C1A" w:rsidRPr="00F72E46" w:rsidRDefault="008F38B9"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vienā</w:t>
                  </w:r>
                  <w:r w:rsidR="003A0C1A" w:rsidRPr="00F72E46">
                    <w:rPr>
                      <w:rFonts w:ascii="Times New Roman" w:hAnsi="Times New Roman" w:cs="Times New Roman"/>
                      <w:sz w:val="24"/>
                      <w:szCs w:val="24"/>
                    </w:rPr>
                    <w:t xml:space="preserve"> gadā – 6 6</w:t>
                  </w:r>
                  <w:r w:rsidR="00797CCC" w:rsidRPr="00F72E46">
                    <w:rPr>
                      <w:rFonts w:ascii="Times New Roman" w:hAnsi="Times New Roman" w:cs="Times New Roman"/>
                      <w:sz w:val="24"/>
                      <w:szCs w:val="24"/>
                    </w:rPr>
                    <w:t>85</w:t>
                  </w:r>
                  <w:r w:rsidR="003A0C1A" w:rsidRPr="00F72E46">
                    <w:rPr>
                      <w:rFonts w:ascii="Times New Roman" w:hAnsi="Times New Roman" w:cs="Times New Roman"/>
                      <w:sz w:val="24"/>
                      <w:szCs w:val="24"/>
                    </w:rPr>
                    <w:t> </w:t>
                  </w:r>
                  <w:r w:rsidR="00797CCC" w:rsidRPr="00F72E46">
                    <w:rPr>
                      <w:rFonts w:ascii="Times New Roman" w:hAnsi="Times New Roman" w:cs="Times New Roman"/>
                      <w:sz w:val="24"/>
                      <w:szCs w:val="24"/>
                    </w:rPr>
                    <w:t>060</w:t>
                  </w:r>
                  <w:r w:rsidR="003A0C1A" w:rsidRPr="00F72E46">
                    <w:rPr>
                      <w:rFonts w:ascii="Times New Roman" w:hAnsi="Times New Roman" w:cs="Times New Roman"/>
                      <w:sz w:val="24"/>
                      <w:szCs w:val="24"/>
                    </w:rPr>
                    <w:t>,00 </w:t>
                  </w:r>
                  <w:proofErr w:type="spellStart"/>
                  <w:r w:rsidR="003A0C1A" w:rsidRPr="00F72E46">
                    <w:rPr>
                      <w:rFonts w:ascii="Times New Roman" w:hAnsi="Times New Roman" w:cs="Times New Roman"/>
                      <w:i/>
                      <w:iCs/>
                      <w:sz w:val="24"/>
                      <w:szCs w:val="24"/>
                    </w:rPr>
                    <w:t>euro</w:t>
                  </w:r>
                  <w:proofErr w:type="spellEnd"/>
                </w:p>
                <w:p w14:paraId="4BF531DC" w14:textId="715854B1" w:rsidR="003A0C1A" w:rsidRPr="00F72E46" w:rsidRDefault="008F38B9"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piecos</w:t>
                  </w:r>
                  <w:r w:rsidR="003A0C1A" w:rsidRPr="00F72E46">
                    <w:rPr>
                      <w:rFonts w:ascii="Times New Roman" w:hAnsi="Times New Roman" w:cs="Times New Roman"/>
                      <w:sz w:val="24"/>
                      <w:szCs w:val="24"/>
                    </w:rPr>
                    <w:t xml:space="preserve"> gados – 33 </w:t>
                  </w:r>
                  <w:r w:rsidR="00797CCC" w:rsidRPr="00F72E46">
                    <w:rPr>
                      <w:rFonts w:ascii="Times New Roman" w:hAnsi="Times New Roman" w:cs="Times New Roman"/>
                      <w:sz w:val="24"/>
                      <w:szCs w:val="24"/>
                    </w:rPr>
                    <w:t>425</w:t>
                  </w:r>
                  <w:r w:rsidR="003A0C1A" w:rsidRPr="00F72E46">
                    <w:rPr>
                      <w:rFonts w:ascii="Times New Roman" w:hAnsi="Times New Roman" w:cs="Times New Roman"/>
                      <w:sz w:val="24"/>
                      <w:szCs w:val="24"/>
                    </w:rPr>
                    <w:t xml:space="preserve"> </w:t>
                  </w:r>
                  <w:r w:rsidR="00797CCC" w:rsidRPr="00F72E46">
                    <w:rPr>
                      <w:rFonts w:ascii="Times New Roman" w:hAnsi="Times New Roman" w:cs="Times New Roman"/>
                      <w:sz w:val="24"/>
                      <w:szCs w:val="24"/>
                    </w:rPr>
                    <w:t>3</w:t>
                  </w:r>
                  <w:r w:rsidR="003A0C1A" w:rsidRPr="00F72E46">
                    <w:rPr>
                      <w:rFonts w:ascii="Times New Roman" w:hAnsi="Times New Roman" w:cs="Times New Roman"/>
                      <w:sz w:val="24"/>
                      <w:szCs w:val="24"/>
                    </w:rPr>
                    <w:t>00,00 </w:t>
                  </w:r>
                  <w:proofErr w:type="spellStart"/>
                  <w:r w:rsidR="003A0C1A" w:rsidRPr="00F72E46">
                    <w:rPr>
                      <w:rFonts w:ascii="Times New Roman" w:hAnsi="Times New Roman" w:cs="Times New Roman"/>
                      <w:i/>
                      <w:iCs/>
                      <w:sz w:val="24"/>
                      <w:szCs w:val="24"/>
                    </w:rPr>
                    <w:t>euro</w:t>
                  </w:r>
                  <w:proofErr w:type="spellEnd"/>
                </w:p>
                <w:p w14:paraId="1886AEC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Pakalpojumu pieejamība, blīvāks pakalpojumu noslogojums</w:t>
                  </w:r>
                </w:p>
              </w:tc>
            </w:tr>
          </w:tbl>
          <w:p w14:paraId="6C16AF94" w14:textId="77777777" w:rsidR="003A0C1A" w:rsidRPr="00F72E46" w:rsidRDefault="003A0C1A"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lastRenderedPageBreak/>
              <w:t>8. Cita būtiska informācija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199"/>
            </w:tblGrid>
            <w:tr w:rsidR="00F72E46" w:rsidRPr="00F72E46" w14:paraId="247594D3" w14:textId="77777777" w:rsidTr="64AB79F5">
              <w:tc>
                <w:tcPr>
                  <w:tcW w:w="8241" w:type="dxa"/>
                  <w:tcBorders>
                    <w:top w:val="outset" w:sz="6" w:space="0" w:color="414142"/>
                    <w:left w:val="outset" w:sz="6" w:space="0" w:color="414142"/>
                    <w:bottom w:val="outset" w:sz="6" w:space="0" w:color="414142"/>
                    <w:right w:val="outset" w:sz="6" w:space="0" w:color="414142"/>
                  </w:tcBorders>
                  <w:hideMark/>
                </w:tcPr>
                <w:p w14:paraId="3D5AB8CE"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 Konceptuālā mērķa arhitektūra</w:t>
                  </w:r>
                </w:p>
                <w:p w14:paraId="5C7080F0" w14:textId="050D7DD5" w:rsidR="003A0C1A" w:rsidRPr="00F72E46" w:rsidRDefault="445D2AD4" w:rsidP="00F72E46">
                  <w:pPr>
                    <w:spacing w:after="0" w:line="240" w:lineRule="auto"/>
                    <w:jc w:val="both"/>
                  </w:pPr>
                  <w:r>
                    <w:rPr>
                      <w:noProof/>
                    </w:rPr>
                    <w:lastRenderedPageBreak/>
                    <w:drawing>
                      <wp:inline distT="0" distB="0" distL="0" distR="0" wp14:anchorId="7BD8BD2D" wp14:editId="13E75884">
                        <wp:extent cx="4624907" cy="2374610"/>
                        <wp:effectExtent l="0" t="0" r="4445" b="6985"/>
                        <wp:docPr id="628645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24907" cy="2374610"/>
                                </a:xfrm>
                                <a:prstGeom prst="rect">
                                  <a:avLst/>
                                </a:prstGeom>
                              </pic:spPr>
                            </pic:pic>
                          </a:graphicData>
                        </a:graphic>
                      </wp:inline>
                    </w:drawing>
                  </w:r>
                </w:p>
                <w:p w14:paraId="7A2C1D61" w14:textId="72B999C3" w:rsidR="00EA62F2"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2. Prognozētās uzturēšanas izmaksas – </w:t>
                  </w:r>
                  <w:r w:rsidR="309D1718" w:rsidRPr="64AB79F5">
                    <w:rPr>
                      <w:rFonts w:ascii="Times New Roman" w:hAnsi="Times New Roman" w:cs="Times New Roman"/>
                      <w:sz w:val="24"/>
                      <w:szCs w:val="24"/>
                    </w:rPr>
                    <w:t>20</w:t>
                  </w:r>
                  <w:r w:rsidRPr="64AB79F5">
                    <w:rPr>
                      <w:rFonts w:ascii="Times New Roman" w:hAnsi="Times New Roman" w:cs="Times New Roman"/>
                      <w:sz w:val="24"/>
                      <w:szCs w:val="24"/>
                    </w:rPr>
                    <w:t xml:space="preserve"> % no kapitālieguldījumiem programmatūras izstrādē, </w:t>
                  </w:r>
                  <w:r w:rsidR="003826A3">
                    <w:rPr>
                      <w:rFonts w:ascii="Times New Roman" w:hAnsi="Times New Roman" w:cs="Times New Roman"/>
                      <w:sz w:val="24"/>
                      <w:szCs w:val="24"/>
                    </w:rPr>
                    <w:t>ne vairāk kā</w:t>
                  </w:r>
                  <w:r w:rsidRPr="64AB79F5">
                    <w:rPr>
                      <w:rFonts w:ascii="Times New Roman" w:hAnsi="Times New Roman" w:cs="Times New Roman"/>
                      <w:sz w:val="24"/>
                      <w:szCs w:val="24"/>
                    </w:rPr>
                    <w:t xml:space="preserve"> </w:t>
                  </w:r>
                  <w:r w:rsidR="309D1718" w:rsidRPr="64AB79F5">
                    <w:rPr>
                      <w:rFonts w:ascii="Times New Roman" w:hAnsi="Times New Roman" w:cs="Times New Roman"/>
                      <w:sz w:val="24"/>
                      <w:szCs w:val="24"/>
                    </w:rPr>
                    <w:t>1 846</w:t>
                  </w:r>
                  <w:r w:rsidRPr="64AB79F5">
                    <w:rPr>
                      <w:rFonts w:ascii="Times New Roman" w:hAnsi="Times New Roman" w:cs="Times New Roman"/>
                      <w:sz w:val="24"/>
                      <w:szCs w:val="24"/>
                    </w:rPr>
                    <w:t> </w:t>
                  </w:r>
                  <w:r w:rsidR="309D1718" w:rsidRPr="64AB79F5">
                    <w:rPr>
                      <w:rFonts w:ascii="Times New Roman" w:hAnsi="Times New Roman" w:cs="Times New Roman"/>
                      <w:sz w:val="24"/>
                      <w:szCs w:val="24"/>
                    </w:rPr>
                    <w:t>353</w:t>
                  </w:r>
                  <w:r w:rsidRPr="64AB79F5">
                    <w:rPr>
                      <w:rFonts w:ascii="Times New Roman" w:hAnsi="Times New Roman" w:cs="Times New Roman"/>
                      <w:sz w:val="24"/>
                      <w:szCs w:val="24"/>
                    </w:rPr>
                    <w:t>,00 x 0,</w:t>
                  </w:r>
                  <w:r w:rsidR="309D1718" w:rsidRPr="64AB79F5">
                    <w:rPr>
                      <w:rFonts w:ascii="Times New Roman" w:hAnsi="Times New Roman" w:cs="Times New Roman"/>
                      <w:sz w:val="24"/>
                      <w:szCs w:val="24"/>
                    </w:rPr>
                    <w:t xml:space="preserve">20 </w:t>
                  </w:r>
                  <w:r w:rsidRPr="64AB79F5">
                    <w:rPr>
                      <w:rFonts w:ascii="Times New Roman" w:hAnsi="Times New Roman" w:cs="Times New Roman"/>
                      <w:sz w:val="24"/>
                      <w:szCs w:val="24"/>
                    </w:rPr>
                    <w:t xml:space="preserve">= </w:t>
                  </w:r>
                  <w:r w:rsidR="00AB478B">
                    <w:rPr>
                      <w:rFonts w:ascii="Times New Roman" w:hAnsi="Times New Roman" w:cs="Times New Roman"/>
                      <w:sz w:val="24"/>
                      <w:szCs w:val="24"/>
                    </w:rPr>
                    <w:t>369</w:t>
                  </w:r>
                  <w:r w:rsidR="00AB478B" w:rsidRPr="64AB79F5">
                    <w:rPr>
                      <w:rFonts w:ascii="Times New Roman" w:hAnsi="Times New Roman" w:cs="Times New Roman"/>
                      <w:sz w:val="24"/>
                      <w:szCs w:val="24"/>
                    </w:rPr>
                    <w:t> </w:t>
                  </w:r>
                  <w:r w:rsidR="003826A3">
                    <w:rPr>
                      <w:rFonts w:ascii="Times New Roman" w:hAnsi="Times New Roman" w:cs="Times New Roman"/>
                      <w:sz w:val="24"/>
                      <w:szCs w:val="24"/>
                    </w:rPr>
                    <w:t>271</w:t>
                  </w:r>
                  <w:r w:rsidR="309D1718" w:rsidRPr="64AB79F5">
                    <w:rPr>
                      <w:rFonts w:ascii="Times New Roman" w:hAnsi="Times New Roman" w:cs="Times New Roman"/>
                      <w:sz w:val="24"/>
                      <w:szCs w:val="24"/>
                    </w:rPr>
                    <w:t>,</w:t>
                  </w:r>
                  <w:r w:rsidRPr="64AB79F5">
                    <w:rPr>
                      <w:rFonts w:ascii="Times New Roman" w:hAnsi="Times New Roman" w:cs="Times New Roman"/>
                      <w:sz w:val="24"/>
                      <w:szCs w:val="24"/>
                    </w:rPr>
                    <w:t>00 </w:t>
                  </w:r>
                  <w:proofErr w:type="spellStart"/>
                  <w:r w:rsidRPr="64AB79F5">
                    <w:rPr>
                      <w:rFonts w:ascii="Times New Roman" w:hAnsi="Times New Roman" w:cs="Times New Roman"/>
                      <w:i/>
                      <w:iCs/>
                      <w:sz w:val="24"/>
                      <w:szCs w:val="24"/>
                    </w:rPr>
                    <w:t>euro</w:t>
                  </w:r>
                  <w:proofErr w:type="spellEnd"/>
                  <w:r w:rsidRPr="64AB79F5">
                    <w:rPr>
                      <w:rFonts w:ascii="Times New Roman" w:hAnsi="Times New Roman" w:cs="Times New Roman"/>
                      <w:sz w:val="24"/>
                      <w:szCs w:val="24"/>
                    </w:rPr>
                    <w:t xml:space="preserve">/gadā. </w:t>
                  </w:r>
                  <w:r w:rsidR="4FB8CD82" w:rsidRPr="64AB79F5">
                    <w:rPr>
                      <w:rFonts w:ascii="Times New Roman" w:hAnsi="Times New Roman" w:cs="Times New Roman"/>
                      <w:sz w:val="24"/>
                      <w:szCs w:val="24"/>
                    </w:rPr>
                    <w:t xml:space="preserve">Lai nodrošinātu projekta rezultātā izstrādāto un/vai pielāgoto slimnīcas informācijas sistēmas moduļu ilgtermiņa darbību un uzturēšanu, vismaz sešdesmit mēnešus pēc projekta beigām, nepieciešams uzturēšanas izmaksu finansējums 20% apmērā piecu gadu periodā pēc </w:t>
                  </w:r>
                  <w:r w:rsidR="00836C35" w:rsidRPr="00836C35">
                    <w:rPr>
                      <w:rFonts w:ascii="Times New Roman" w:hAnsi="Times New Roman" w:cs="Times New Roman"/>
                      <w:sz w:val="24"/>
                      <w:szCs w:val="24"/>
                    </w:rPr>
                    <w:t>Atveseļošanas un noturības mehānisma plāna</w:t>
                  </w:r>
                  <w:r w:rsidR="00836C35" w:rsidRPr="00836C35" w:rsidDel="00836C35">
                    <w:rPr>
                      <w:rFonts w:ascii="Times New Roman" w:hAnsi="Times New Roman" w:cs="Times New Roman"/>
                      <w:sz w:val="24"/>
                      <w:szCs w:val="24"/>
                    </w:rPr>
                    <w:t xml:space="preserve"> </w:t>
                  </w:r>
                  <w:r w:rsidR="4FB8CD82" w:rsidRPr="64AB79F5">
                    <w:rPr>
                      <w:rFonts w:ascii="Times New Roman" w:hAnsi="Times New Roman" w:cs="Times New Roman"/>
                      <w:sz w:val="24"/>
                      <w:szCs w:val="24"/>
                    </w:rPr>
                    <w:t xml:space="preserve">projekta īstenošanas, nodrošinot projekta laikā izstrādāto un/vai pielāgoto datu apmaiņas risinājuma moduļu un to pielāgojumu nepārtrauktu funkcionalitāti un atbilstību aktuālajiem normatīvajiem, tehnoloģiskajiem un </w:t>
                  </w:r>
                  <w:proofErr w:type="spellStart"/>
                  <w:r w:rsidR="4FB8CD82" w:rsidRPr="64AB79F5">
                    <w:rPr>
                      <w:rFonts w:ascii="Times New Roman" w:hAnsi="Times New Roman" w:cs="Times New Roman"/>
                      <w:sz w:val="24"/>
                      <w:szCs w:val="24"/>
                    </w:rPr>
                    <w:t>kiberdrošības</w:t>
                  </w:r>
                  <w:proofErr w:type="spellEnd"/>
                  <w:r w:rsidR="4FB8CD82" w:rsidRPr="64AB79F5">
                    <w:rPr>
                      <w:rFonts w:ascii="Times New Roman" w:hAnsi="Times New Roman" w:cs="Times New Roman"/>
                      <w:sz w:val="24"/>
                      <w:szCs w:val="24"/>
                    </w:rPr>
                    <w:t xml:space="preserve"> standartiem. Projekta rezultātā nodrošinātie risinājumi nodrošinās piekļuvi ārstniecības procesā  būtiskai un nozīmīgai medicīniskai informācijai, tādēļ risinājuma darbības pārtraukumi vai neatbilstoša uzturēšana var radīt riskus pacientu veselībai un dzīvībai. Tāpat risinājuma uzturēšana nepieciešama veselības datu kā īpaši </w:t>
                  </w:r>
                  <w:proofErr w:type="spellStart"/>
                  <w:r w:rsidR="4FB8CD82" w:rsidRPr="64AB79F5">
                    <w:rPr>
                      <w:rFonts w:ascii="Times New Roman" w:hAnsi="Times New Roman" w:cs="Times New Roman"/>
                      <w:sz w:val="24"/>
                      <w:szCs w:val="24"/>
                    </w:rPr>
                    <w:t>sensitīvas</w:t>
                  </w:r>
                  <w:proofErr w:type="spellEnd"/>
                  <w:r w:rsidR="4FB8CD82" w:rsidRPr="64AB79F5">
                    <w:rPr>
                      <w:rFonts w:ascii="Times New Roman" w:hAnsi="Times New Roman" w:cs="Times New Roman"/>
                      <w:sz w:val="24"/>
                      <w:szCs w:val="24"/>
                    </w:rPr>
                    <w:t xml:space="preserve"> informācijas datu aizsardzības prasību nodrošināšanai, veicot regulāru drošības protokolu atjaunošanu, identificējot un novēršot </w:t>
                  </w:r>
                  <w:proofErr w:type="spellStart"/>
                  <w:r w:rsidR="4FB8CD82" w:rsidRPr="64AB79F5">
                    <w:rPr>
                      <w:rFonts w:ascii="Times New Roman" w:hAnsi="Times New Roman" w:cs="Times New Roman"/>
                      <w:sz w:val="24"/>
                      <w:szCs w:val="24"/>
                    </w:rPr>
                    <w:t>kiberdraudus</w:t>
                  </w:r>
                  <w:proofErr w:type="spellEnd"/>
                  <w:r w:rsidR="4FB8CD82" w:rsidRPr="64AB79F5">
                    <w:rPr>
                      <w:rFonts w:ascii="Times New Roman" w:hAnsi="Times New Roman" w:cs="Times New Roman"/>
                      <w:sz w:val="24"/>
                      <w:szCs w:val="24"/>
                    </w:rPr>
                    <w:t>, kā arī aizsargājot pacientu datus no nesankcionētas piekļuves vai noplūdes. Risinājuma veiksmīgai darbībai nepieciešams nodrošināt savietojamību ar citām veselības nozares informācijas sistēmām, kas laika gaitā tiek attīstītas vai mainītas. Uzturēšanas izmaksu nodrošinājums garantē, ka projekta laikā veiktās investīcijas tehnoloģiju izstrādē un ieviešanā nesīs ilgtspējīgu rezultātu. Pretējā gadījumā pastāv augsts risks, ka izstrādātie risinājumi pēc projekta beigām zaudēs funkcionalitāti vai kļūs neatbilstoši. Uzturēšanas izmaksās ietilpst standarta programmatūras atjauninājumi, kritiskie sistēmu pielāgojumi un skaitļošanas resursu izmaksas, kā arī šo veicošo darbinieku atalgojums.</w:t>
                  </w:r>
                </w:p>
                <w:p w14:paraId="615600AA" w14:textId="1C88469E"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 Pamatojoties uz Ministru kabineta 2022. gada 6. jūlija rīkojumā Nr. 493 "Par Veselības aprūpes pakalpojumu uzlabošanas plānu onkoloģijas jomā 2022.–2024. gadam" norādīto, ka lielākā onkoloģijas pacientu plūsma ir RAKUS Latvijas Onkoloģijas centrā (tajā katru gadu ārstējas apmēram 80 % no visiem onkoloģijas pacientiem), RAKUS ir noteikt</w:t>
                  </w:r>
                  <w:r w:rsidR="00B30AB2" w:rsidRPr="00F72E46">
                    <w:rPr>
                      <w:rFonts w:ascii="Times New Roman" w:hAnsi="Times New Roman" w:cs="Times New Roman"/>
                      <w:sz w:val="24"/>
                      <w:szCs w:val="24"/>
                    </w:rPr>
                    <w:t>a</w:t>
                  </w:r>
                  <w:r w:rsidRPr="00F72E46">
                    <w:rPr>
                      <w:rFonts w:ascii="Times New Roman" w:hAnsi="Times New Roman" w:cs="Times New Roman"/>
                      <w:sz w:val="24"/>
                      <w:szCs w:val="24"/>
                    </w:rPr>
                    <w:t xml:space="preserve"> par jaunā Vēža centra veidotāju.</w:t>
                  </w:r>
                </w:p>
                <w:p w14:paraId="3B646C66" w14:textId="1DE72FCB"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Saskaņā ar Ministru kabineta 2022. gada 6. decembra noteikumiem Nr. 760 "</w:t>
                  </w:r>
                  <w:hyperlink r:id="rId12" w:tgtFrame="_blank" w:history="1">
                    <w:r w:rsidRPr="00F72E46">
                      <w:rPr>
                        <w:rStyle w:val="Hyperlink"/>
                        <w:rFonts w:ascii="Times New Roman" w:hAnsi="Times New Roman" w:cs="Times New Roman"/>
                        <w:color w:val="auto"/>
                        <w:sz w:val="24"/>
                        <w:szCs w:val="24"/>
                      </w:rPr>
                      <w:t>Eiropas Savienības Atveseļošanas un noturības mehānisma plāna 4.1.1.r. reformas "Uz cilvēku centrētas, visaptverošas, integrētas veselības aprūpes sistēmas ilgtspēja un noturība" atskaites punkta "Nodrošināt metodisko vadību onkoloģijas jomā" īstenošanas noteikumi</w:t>
                    </w:r>
                  </w:hyperlink>
                  <w:r w:rsidRPr="00F72E46">
                    <w:rPr>
                      <w:rFonts w:ascii="Times New Roman" w:hAnsi="Times New Roman" w:cs="Times New Roman"/>
                      <w:sz w:val="24"/>
                      <w:szCs w:val="24"/>
                    </w:rPr>
                    <w:t>" RAKUS ir noteikt</w:t>
                  </w:r>
                  <w:r w:rsidR="00B30AB2" w:rsidRPr="00F72E46">
                    <w:rPr>
                      <w:rFonts w:ascii="Times New Roman" w:hAnsi="Times New Roman" w:cs="Times New Roman"/>
                      <w:sz w:val="24"/>
                      <w:szCs w:val="24"/>
                    </w:rPr>
                    <w:t>a</w:t>
                  </w:r>
                  <w:r w:rsidRPr="00F72E46">
                    <w:rPr>
                      <w:rFonts w:ascii="Times New Roman" w:hAnsi="Times New Roman" w:cs="Times New Roman"/>
                      <w:sz w:val="24"/>
                      <w:szCs w:val="24"/>
                    </w:rPr>
                    <w:t xml:space="preserve"> par projekta īstenotāju reformas atskaites punkta mērķu īstenošanai onkoloģijas jomā, partnerībā ar projekta īstenošanas partneriem PSKUS un BKUS izveidojot visu Latvijā esošo klīnisko universitāšu slimnīcu partnerību. Līdz ar to apliecinām, ka projekta ietvaros netiks sniegts atbalsts komercdarbībai, bet tiks īstenots valsts deleģētais uzdevums onkoloģijas jomā.</w:t>
                  </w:r>
                </w:p>
                <w:p w14:paraId="5E36DCB7" w14:textId="783D850E"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Veselības ministrija atbilstoši tās nolikumā noteiktajām funkcijām izstrādā veselības politiku, kā arī organizē un koordinē veselības politikas īstenošanu. Veselības nozares valsts informācijas sistēmas ir līdzeklis, lai nodrošinātu sekmīgu minēto funkciju izpildi onkoloģijas jomā. Projekts </w:t>
                  </w:r>
                  <w:r w:rsidRPr="64AB79F5">
                    <w:rPr>
                      <w:rFonts w:ascii="Times New Roman" w:hAnsi="Times New Roman" w:cs="Times New Roman"/>
                      <w:sz w:val="24"/>
                      <w:szCs w:val="24"/>
                    </w:rPr>
                    <w:lastRenderedPageBreak/>
                    <w:t xml:space="preserve">ir daļa no valsts veselības aprūpes digitalizācijas procesa, kura mērķis ir </w:t>
                  </w:r>
                  <w:r w:rsidR="53D3B787" w:rsidRPr="64AB79F5">
                    <w:rPr>
                      <w:rFonts w:ascii="Times New Roman" w:hAnsi="Times New Roman" w:cs="Times New Roman"/>
                      <w:sz w:val="24"/>
                      <w:szCs w:val="24"/>
                    </w:rPr>
                    <w:t xml:space="preserve">attīstīt </w:t>
                  </w:r>
                  <w:r w:rsidRPr="64AB79F5">
                    <w:rPr>
                      <w:rFonts w:ascii="Times New Roman" w:hAnsi="Times New Roman" w:cs="Times New Roman"/>
                      <w:sz w:val="24"/>
                      <w:szCs w:val="24"/>
                    </w:rPr>
                    <w:t xml:space="preserve">veselības nozares </w:t>
                  </w:r>
                  <w:r w:rsidR="65A7FFDB" w:rsidRPr="64AB79F5">
                    <w:rPr>
                      <w:rFonts w:ascii="Times New Roman" w:hAnsi="Times New Roman" w:cs="Times New Roman"/>
                      <w:sz w:val="24"/>
                      <w:szCs w:val="24"/>
                    </w:rPr>
                    <w:t xml:space="preserve">valsts </w:t>
                  </w:r>
                  <w:r w:rsidRPr="64AB79F5">
                    <w:rPr>
                      <w:rFonts w:ascii="Times New Roman" w:hAnsi="Times New Roman" w:cs="Times New Roman"/>
                      <w:sz w:val="24"/>
                      <w:szCs w:val="24"/>
                    </w:rPr>
                    <w:t xml:space="preserve">informācijas sistēmu </w:t>
                  </w:r>
                  <w:r w:rsidR="65A7FFDB" w:rsidRPr="64AB79F5">
                    <w:rPr>
                      <w:rFonts w:ascii="Times New Roman" w:hAnsi="Times New Roman" w:cs="Times New Roman"/>
                      <w:sz w:val="24"/>
                      <w:szCs w:val="24"/>
                    </w:rPr>
                    <w:t xml:space="preserve">- </w:t>
                  </w:r>
                  <w:r w:rsidR="309D1718" w:rsidRPr="64AB79F5">
                    <w:rPr>
                      <w:rFonts w:ascii="Times New Roman" w:hAnsi="Times New Roman" w:cs="Times New Roman"/>
                      <w:sz w:val="24"/>
                      <w:szCs w:val="24"/>
                    </w:rPr>
                    <w:t xml:space="preserve">e-veselības IS </w:t>
                  </w:r>
                  <w:r w:rsidRPr="64AB79F5">
                    <w:rPr>
                      <w:rFonts w:ascii="Times New Roman" w:hAnsi="Times New Roman" w:cs="Times New Roman"/>
                      <w:sz w:val="24"/>
                      <w:szCs w:val="24"/>
                    </w:rPr>
                    <w:t xml:space="preserve">, īstenojot dažādas vienotas valsts veselības informācijas sistēmas komponentes, piemēram, elektroniskās veselības kartes un integrācijas platformas informācijas sistēmas izveidi), un daļa no </w:t>
                  </w:r>
                  <w:r w:rsidR="36DF4E07" w:rsidRPr="64AB79F5">
                    <w:rPr>
                      <w:rFonts w:ascii="Times New Roman" w:hAnsi="Times New Roman" w:cs="Times New Roman"/>
                      <w:sz w:val="24"/>
                      <w:szCs w:val="24"/>
                    </w:rPr>
                    <w:t xml:space="preserve"> DAGR</w:t>
                  </w:r>
                  <w:r w:rsidR="769BF566" w:rsidRPr="64AB79F5">
                    <w:rPr>
                      <w:rFonts w:ascii="Times New Roman" w:hAnsi="Times New Roman" w:cs="Times New Roman"/>
                      <w:sz w:val="24"/>
                      <w:szCs w:val="24"/>
                    </w:rPr>
                    <w:t>.</w:t>
                  </w:r>
                  <w:r w:rsidRPr="64AB79F5">
                    <w:rPr>
                      <w:rFonts w:ascii="Times New Roman" w:hAnsi="Times New Roman" w:cs="Times New Roman"/>
                      <w:sz w:val="24"/>
                      <w:szCs w:val="24"/>
                    </w:rPr>
                    <w:t xml:space="preserve"> 4. Pēc projekta beigām paredzēta datu  nodošana uz </w:t>
                  </w:r>
                  <w:r w:rsidR="309D1718" w:rsidRPr="64AB79F5">
                    <w:rPr>
                      <w:rFonts w:ascii="Times New Roman" w:hAnsi="Times New Roman" w:cs="Times New Roman"/>
                      <w:sz w:val="24"/>
                      <w:szCs w:val="24"/>
                    </w:rPr>
                    <w:t xml:space="preserve">LDVC e-veselības IS </w:t>
                  </w:r>
                  <w:r w:rsidRPr="64AB79F5">
                    <w:rPr>
                      <w:rFonts w:ascii="Times New Roman" w:hAnsi="Times New Roman" w:cs="Times New Roman"/>
                      <w:sz w:val="24"/>
                      <w:szCs w:val="24"/>
                    </w:rPr>
                    <w:t xml:space="preserve">atbilstoši </w:t>
                  </w:r>
                  <w:r w:rsidR="309D1718" w:rsidRPr="64AB79F5">
                    <w:rPr>
                      <w:rFonts w:ascii="Times New Roman" w:hAnsi="Times New Roman" w:cs="Times New Roman"/>
                      <w:sz w:val="24"/>
                      <w:szCs w:val="24"/>
                    </w:rPr>
                    <w:t xml:space="preserve">e-veselības IS </w:t>
                  </w:r>
                  <w:r w:rsidRPr="64AB79F5">
                    <w:rPr>
                      <w:rFonts w:ascii="Times New Roman" w:hAnsi="Times New Roman" w:cs="Times New Roman"/>
                      <w:sz w:val="24"/>
                      <w:szCs w:val="24"/>
                    </w:rPr>
                    <w:t xml:space="preserve">gatavībai un iespējām. Tādējādi tiktu nodrošināta onkoloģijas pacientu datu bezmaksas pieejamība ikvienai ārstniecības iestādei, kam </w:t>
                  </w:r>
                  <w:r w:rsidR="309D1718" w:rsidRPr="64AB79F5">
                    <w:rPr>
                      <w:rFonts w:ascii="Times New Roman" w:hAnsi="Times New Roman" w:cs="Times New Roman"/>
                      <w:sz w:val="24"/>
                      <w:szCs w:val="24"/>
                    </w:rPr>
                    <w:t xml:space="preserve">LDVC </w:t>
                  </w:r>
                  <w:r w:rsidRPr="64AB79F5">
                    <w:rPr>
                      <w:rFonts w:ascii="Times New Roman" w:hAnsi="Times New Roman" w:cs="Times New Roman"/>
                      <w:sz w:val="24"/>
                      <w:szCs w:val="24"/>
                    </w:rPr>
                    <w:t xml:space="preserve">būs piešķīris piekļuvi </w:t>
                  </w:r>
                  <w:r w:rsidR="309D1718" w:rsidRPr="64AB79F5">
                    <w:rPr>
                      <w:rFonts w:ascii="Times New Roman" w:hAnsi="Times New Roman" w:cs="Times New Roman"/>
                      <w:sz w:val="24"/>
                      <w:szCs w:val="24"/>
                    </w:rPr>
                    <w:t xml:space="preserve">e-veselības IS </w:t>
                  </w:r>
                  <w:r w:rsidRPr="64AB79F5">
                    <w:rPr>
                      <w:rFonts w:ascii="Times New Roman" w:hAnsi="Times New Roman" w:cs="Times New Roman"/>
                      <w:sz w:val="24"/>
                      <w:szCs w:val="24"/>
                    </w:rPr>
                    <w:t xml:space="preserve">ar atbilstošām lietotāja piekļuves tiesībām. </w:t>
                  </w:r>
                </w:p>
                <w:p w14:paraId="373918B4" w14:textId="1C8701DF"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5. Projekts ir paredzēts pacientu un viņu likumisko pārstāvju ārstniecības un aprūpes procesa uzlabošanai, un rezultāts ir ieguvums tikai pašiem pacientiem. Datu ievades, uzkrāšanas un nodošanas uz koplietošanas platformu mērķis ir uzlabot onkoloģijas pacientu ārstniecības procesu. Datu apmaiņas (pieejamības) rezultātā sabiedrība būs ieguvēja, jo </w:t>
                  </w:r>
                  <w:r w:rsidR="08878F47" w:rsidRPr="64AB79F5">
                    <w:rPr>
                      <w:rFonts w:ascii="Times New Roman" w:hAnsi="Times New Roman" w:cs="Times New Roman"/>
                      <w:sz w:val="24"/>
                      <w:szCs w:val="24"/>
                    </w:rPr>
                    <w:t>onkoloģisk</w:t>
                  </w:r>
                  <w:r w:rsidR="222C9CBF" w:rsidRPr="64AB79F5">
                    <w:rPr>
                      <w:rFonts w:ascii="Times New Roman" w:hAnsi="Times New Roman" w:cs="Times New Roman"/>
                      <w:sz w:val="24"/>
                      <w:szCs w:val="24"/>
                    </w:rPr>
                    <w:t xml:space="preserve">o pacientu </w:t>
                  </w:r>
                  <w:r w:rsidR="08878F47" w:rsidRPr="64AB79F5">
                    <w:rPr>
                      <w:rFonts w:ascii="Times New Roman" w:hAnsi="Times New Roman" w:cs="Times New Roman"/>
                      <w:sz w:val="24"/>
                      <w:szCs w:val="24"/>
                    </w:rPr>
                    <w:t xml:space="preserve">ārstniecības un aprūpes procesā, varēs </w:t>
                  </w:r>
                  <w:r w:rsidR="4E42A014" w:rsidRPr="64AB79F5">
                    <w:rPr>
                      <w:rFonts w:ascii="Times New Roman" w:hAnsi="Times New Roman" w:cs="Times New Roman"/>
                      <w:sz w:val="24"/>
                      <w:szCs w:val="24"/>
                    </w:rPr>
                    <w:t xml:space="preserve">pieņemt </w:t>
                  </w:r>
                  <w:proofErr w:type="spellStart"/>
                  <w:r w:rsidR="08878F47" w:rsidRPr="64AB79F5">
                    <w:rPr>
                      <w:rFonts w:ascii="Times New Roman" w:hAnsi="Times New Roman" w:cs="Times New Roman"/>
                      <w:sz w:val="24"/>
                      <w:szCs w:val="24"/>
                    </w:rPr>
                    <w:t>proaktīvus</w:t>
                  </w:r>
                  <w:proofErr w:type="spellEnd"/>
                  <w:r w:rsidR="08878F47" w:rsidRPr="64AB79F5">
                    <w:rPr>
                      <w:rFonts w:ascii="Times New Roman" w:hAnsi="Times New Roman" w:cs="Times New Roman"/>
                      <w:sz w:val="24"/>
                      <w:szCs w:val="24"/>
                    </w:rPr>
                    <w:t xml:space="preserve"> </w:t>
                  </w:r>
                  <w:r w:rsidRPr="64AB79F5">
                    <w:rPr>
                      <w:rFonts w:ascii="Times New Roman" w:hAnsi="Times New Roman" w:cs="Times New Roman"/>
                      <w:sz w:val="24"/>
                      <w:szCs w:val="24"/>
                    </w:rPr>
                    <w:t xml:space="preserve">datos balstītus lēmumus </w:t>
                  </w:r>
                </w:p>
              </w:tc>
            </w:tr>
          </w:tbl>
          <w:p w14:paraId="356538E2" w14:textId="77777777" w:rsidR="000A7918" w:rsidRPr="00F72E46" w:rsidRDefault="000A7918" w:rsidP="00F72E46">
            <w:pPr>
              <w:spacing w:after="0" w:line="240" w:lineRule="auto"/>
              <w:jc w:val="both"/>
              <w:rPr>
                <w:rFonts w:ascii="Times New Roman" w:hAnsi="Times New Roman" w:cs="Times New Roman"/>
                <w:sz w:val="24"/>
                <w:szCs w:val="24"/>
              </w:rPr>
            </w:pPr>
          </w:p>
          <w:p w14:paraId="4DDB178D" w14:textId="691DC040"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Lietotie saīsinājumi:</w:t>
            </w:r>
          </w:p>
          <w:p w14:paraId="69235F33" w14:textId="13E1BDB1"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BKUS – Bērnu klīniskā universitātes slimnīca</w:t>
            </w:r>
          </w:p>
          <w:p w14:paraId="0D0825B6"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DAGR – Datu agregācijas un izplatīšanas platforma</w:t>
            </w:r>
          </w:p>
          <w:p w14:paraId="180A4B27" w14:textId="572DE83C" w:rsidR="00EA62F2" w:rsidRPr="00F72E46" w:rsidRDefault="445D2AD4"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EMY - Neatliekamās medicīniskās palīdzības dienesta informācijas sistēma</w:t>
            </w:r>
          </w:p>
          <w:p w14:paraId="40A8A2A7" w14:textId="5208AA3E" w:rsidR="003A0C1A" w:rsidRPr="00F72E46" w:rsidRDefault="534547A1"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E-veselības IS </w:t>
            </w:r>
            <w:r w:rsidR="4AED5840" w:rsidRPr="64AB79F5">
              <w:rPr>
                <w:rFonts w:ascii="Times New Roman" w:hAnsi="Times New Roman" w:cs="Times New Roman"/>
                <w:sz w:val="24"/>
                <w:szCs w:val="24"/>
              </w:rPr>
              <w:t xml:space="preserve">– </w:t>
            </w:r>
            <w:r w:rsidRPr="64AB79F5">
              <w:rPr>
                <w:rFonts w:ascii="Times New Roman" w:hAnsi="Times New Roman" w:cs="Times New Roman"/>
                <w:sz w:val="24"/>
                <w:szCs w:val="24"/>
              </w:rPr>
              <w:t>vienotā veselības nozares elektroniskā informācijas sistēma</w:t>
            </w:r>
          </w:p>
          <w:p w14:paraId="2074A4C8"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IKT – informācijas un komunikācijas tehnoloģijas</w:t>
            </w:r>
          </w:p>
          <w:p w14:paraId="35E24467"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IS – informācijas sistēma</w:t>
            </w:r>
          </w:p>
          <w:p w14:paraId="446702A7"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KUS – klīniskās universitātes slimnīcas (kopā)</w:t>
            </w:r>
          </w:p>
          <w:p w14:paraId="1FBFE1B3" w14:textId="78211C99" w:rsidR="00EA62F2" w:rsidRPr="00F72E46" w:rsidRDefault="445D2AD4"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LDVC – Latvijas Digitālās veselības centrs</w:t>
            </w:r>
          </w:p>
          <w:p w14:paraId="3EDD9556" w14:textId="77777777" w:rsidR="003A0C1A"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NVD – Nacionālais veselības dienests</w:t>
            </w:r>
          </w:p>
          <w:p w14:paraId="55B6E7D2" w14:textId="780E9262" w:rsidR="003A0C1A" w:rsidRPr="00F72E46" w:rsidRDefault="4AED5840" w:rsidP="64AB79F5">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PSKUS – Paula Stradiņa klīniskā universitātes slimnīca</w:t>
            </w:r>
          </w:p>
          <w:p w14:paraId="64E84C7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RAKUS – Rīgas Austrumu klīniskā universitātes slimnīca</w:t>
            </w:r>
          </w:p>
          <w:p w14:paraId="3ECB3226" w14:textId="3F40FC5A"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rPr>
              <w:t xml:space="preserve">VARAM – </w:t>
            </w:r>
            <w:r w:rsidR="4A2415A2" w:rsidRPr="64AB79F5">
              <w:rPr>
                <w:rFonts w:ascii="Times New Roman" w:hAnsi="Times New Roman" w:cs="Times New Roman"/>
                <w:sz w:val="24"/>
                <w:szCs w:val="24"/>
              </w:rPr>
              <w:t xml:space="preserve">Viedās administrācijas </w:t>
            </w:r>
            <w:r w:rsidRPr="64AB79F5">
              <w:rPr>
                <w:rFonts w:ascii="Times New Roman" w:hAnsi="Times New Roman" w:cs="Times New Roman"/>
                <w:sz w:val="24"/>
                <w:szCs w:val="24"/>
              </w:rPr>
              <w:t>un reģionālās attīstības ministrija</w:t>
            </w:r>
          </w:p>
          <w:p w14:paraId="144FB45F" w14:textId="77777777" w:rsidR="003A0C1A" w:rsidRPr="00F72E46" w:rsidRDefault="007F4DF8"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pict w14:anchorId="1FA296BE">
                <v:rect id="_x0000_i1025" style="width:142.55pt;height:.6pt" o:hrpct="330" o:hrstd="t" o:hr="t" fillcolor="#a0a0a0" stroked="f"/>
              </w:pict>
            </w:r>
          </w:p>
          <w:p w14:paraId="50C76ED0"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w:t>
            </w:r>
            <w:r w:rsidRPr="00F72E46">
              <w:rPr>
                <w:rFonts w:ascii="Times New Roman" w:hAnsi="Times New Roman" w:cs="Times New Roman"/>
                <w:sz w:val="24"/>
                <w:szCs w:val="24"/>
              </w:rPr>
              <w:t> DAGR datu apmaiņa tiek izmantota tikai tad, ja DAGR ir produktīvā darbībā.</w:t>
            </w:r>
          </w:p>
          <w:p w14:paraId="0DF2F449" w14:textId="089EB1EA" w:rsidR="003A0C1A" w:rsidRPr="00F72E46" w:rsidRDefault="4AED5840" w:rsidP="00F72E46">
            <w:pPr>
              <w:spacing w:after="0" w:line="240" w:lineRule="auto"/>
              <w:jc w:val="both"/>
              <w:rPr>
                <w:rFonts w:ascii="Times New Roman" w:hAnsi="Times New Roman" w:cs="Times New Roman"/>
                <w:sz w:val="24"/>
                <w:szCs w:val="24"/>
              </w:rPr>
            </w:pPr>
            <w:r w:rsidRPr="64AB79F5">
              <w:rPr>
                <w:rFonts w:ascii="Times New Roman" w:hAnsi="Times New Roman" w:cs="Times New Roman"/>
                <w:sz w:val="24"/>
                <w:szCs w:val="24"/>
                <w:vertAlign w:val="superscript"/>
              </w:rPr>
              <w:t>2</w:t>
            </w:r>
            <w:r w:rsidRPr="64AB79F5">
              <w:rPr>
                <w:rFonts w:ascii="Times New Roman" w:hAnsi="Times New Roman" w:cs="Times New Roman"/>
                <w:sz w:val="24"/>
                <w:szCs w:val="24"/>
              </w:rPr>
              <w:t xml:space="preserve"> Tai skaitā nodrošinātu datu nodošanu uz </w:t>
            </w:r>
            <w:r w:rsidR="309D1718" w:rsidRPr="64AB79F5">
              <w:rPr>
                <w:rFonts w:ascii="Times New Roman" w:hAnsi="Times New Roman" w:cs="Times New Roman"/>
                <w:sz w:val="24"/>
                <w:szCs w:val="24"/>
              </w:rPr>
              <w:t xml:space="preserve">LDVC e-veselības IS </w:t>
            </w:r>
            <w:r w:rsidRPr="64AB79F5">
              <w:rPr>
                <w:rFonts w:ascii="Times New Roman" w:hAnsi="Times New Roman" w:cs="Times New Roman"/>
                <w:sz w:val="24"/>
                <w:szCs w:val="24"/>
              </w:rPr>
              <w:t xml:space="preserve">atbilstoši </w:t>
            </w:r>
            <w:r w:rsidR="309D1718" w:rsidRPr="64AB79F5">
              <w:rPr>
                <w:rFonts w:ascii="Times New Roman" w:hAnsi="Times New Roman" w:cs="Times New Roman"/>
                <w:sz w:val="24"/>
                <w:szCs w:val="24"/>
              </w:rPr>
              <w:t xml:space="preserve">e-veselības IS </w:t>
            </w:r>
            <w:r w:rsidRPr="64AB79F5">
              <w:rPr>
                <w:rFonts w:ascii="Times New Roman" w:hAnsi="Times New Roman" w:cs="Times New Roman"/>
                <w:sz w:val="24"/>
                <w:szCs w:val="24"/>
              </w:rPr>
              <w:t>gatavībai un pieejamām iespējām.</w:t>
            </w:r>
          </w:p>
          <w:p w14:paraId="3C925C60" w14:textId="510B6B14"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3</w:t>
            </w:r>
            <w:r w:rsidRPr="00F72E46">
              <w:rPr>
                <w:rFonts w:ascii="Times New Roman" w:hAnsi="Times New Roman" w:cs="Times New Roman"/>
                <w:sz w:val="24"/>
                <w:szCs w:val="24"/>
              </w:rPr>
              <w:t> Obligāti jāiekļauj vismaz viens (vēlami vismaz divi) būtisks ieguvums, kas tiek sasniegts jau projekta īstenošanas laikā. Šajā sadaļā ir jānorāda būtiski</w:t>
            </w:r>
            <w:r w:rsidR="00890100" w:rsidRPr="00F72E46">
              <w:rPr>
                <w:rFonts w:ascii="Times New Roman" w:hAnsi="Times New Roman" w:cs="Times New Roman"/>
                <w:sz w:val="24"/>
                <w:szCs w:val="24"/>
              </w:rPr>
              <w:t>e</w:t>
            </w:r>
            <w:r w:rsidRPr="00F72E46">
              <w:rPr>
                <w:rFonts w:ascii="Times New Roman" w:hAnsi="Times New Roman" w:cs="Times New Roman"/>
                <w:sz w:val="24"/>
                <w:szCs w:val="24"/>
              </w:rPr>
              <w:t xml:space="preserve"> ieguvumi nozarei, institūcijai un sabiedrībai, bet nav jānorāda iznākumi – ieguldījumi Atveseļošanas un noturības mehānisma plāna </w:t>
            </w:r>
            <w:hyperlink r:id="rId13" w:anchor="p2.1" w:history="1">
              <w:r w:rsidRPr="00F72E46">
                <w:rPr>
                  <w:rStyle w:val="Hyperlink"/>
                  <w:rFonts w:ascii="Times New Roman" w:hAnsi="Times New Roman" w:cs="Times New Roman"/>
                  <w:color w:val="auto"/>
                  <w:sz w:val="24"/>
                  <w:szCs w:val="24"/>
                </w:rPr>
                <w:t>2.1</w:t>
              </w:r>
            </w:hyperlink>
            <w:r w:rsidRPr="00F72E46">
              <w:rPr>
                <w:rFonts w:ascii="Times New Roman" w:hAnsi="Times New Roman" w:cs="Times New Roman"/>
                <w:sz w:val="24"/>
                <w:szCs w:val="24"/>
              </w:rPr>
              <w:t>. mērķa rādītāju sasniegšanā, ko norāda </w:t>
            </w:r>
            <w:hyperlink r:id="rId14" w:anchor="p5" w:history="1">
              <w:r w:rsidRPr="00F72E46">
                <w:rPr>
                  <w:rStyle w:val="Hyperlink"/>
                  <w:rFonts w:ascii="Times New Roman" w:hAnsi="Times New Roman" w:cs="Times New Roman"/>
                  <w:color w:val="auto"/>
                  <w:sz w:val="24"/>
                  <w:szCs w:val="24"/>
                </w:rPr>
                <w:t>5. punktā</w:t>
              </w:r>
            </w:hyperlink>
            <w:r w:rsidRPr="00F72E46">
              <w:rPr>
                <w:rFonts w:ascii="Times New Roman" w:hAnsi="Times New Roman" w:cs="Times New Roman"/>
                <w:sz w:val="24"/>
                <w:szCs w:val="24"/>
              </w:rPr>
              <w:t>.</w:t>
            </w:r>
          </w:p>
          <w:p w14:paraId="55EEB022" w14:textId="30A68470"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4</w:t>
            </w:r>
            <w:r w:rsidRPr="00F72E46">
              <w:rPr>
                <w:rFonts w:ascii="Times New Roman" w:hAnsi="Times New Roman" w:cs="Times New Roman"/>
                <w:sz w:val="24"/>
                <w:szCs w:val="24"/>
              </w:rPr>
              <w:t> Piemēram, ja ieguvums ir personāla administrēšanas funkcijas centralizācija, tad mērījums varētu būt, piemēram, tiešās pārvaldes darbinieku skaits, kas to izmanto, vērtība, piemēram, 10</w:t>
            </w:r>
            <w:r w:rsidR="00890100" w:rsidRPr="00F72E46">
              <w:rPr>
                <w:rFonts w:ascii="Times New Roman" w:hAnsi="Times New Roman" w:cs="Times New Roman"/>
                <w:sz w:val="24"/>
                <w:szCs w:val="24"/>
              </w:rPr>
              <w:t> </w:t>
            </w:r>
            <w:r w:rsidRPr="00F72E46">
              <w:rPr>
                <w:rFonts w:ascii="Times New Roman" w:hAnsi="Times New Roman" w:cs="Times New Roman"/>
                <w:sz w:val="24"/>
                <w:szCs w:val="24"/>
              </w:rPr>
              <w:t>000, un sasniegšanas laiks – 2026. gads.</w:t>
            </w:r>
          </w:p>
          <w:p w14:paraId="40E7D959"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5</w:t>
            </w:r>
            <w:r w:rsidRPr="00F72E46">
              <w:rPr>
                <w:rFonts w:ascii="Times New Roman" w:hAnsi="Times New Roman" w:cs="Times New Roman"/>
                <w:sz w:val="24"/>
                <w:szCs w:val="24"/>
              </w:rPr>
              <w:t> PVN netiek attiecināts projektu īstenotājiem, kas to var attiecināt patstāvīgi. Pārējie projektu īstenotāji var pieprasīt to attiecināt, norādot apmēru un saskaņojot to ar Finanšu ministriju.</w:t>
            </w:r>
          </w:p>
          <w:p w14:paraId="198A12BC"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6</w:t>
            </w:r>
            <w:r w:rsidRPr="00F72E46">
              <w:rPr>
                <w:rFonts w:ascii="Times New Roman" w:hAnsi="Times New Roman" w:cs="Times New Roman"/>
                <w:sz w:val="24"/>
                <w:szCs w:val="24"/>
              </w:rPr>
              <w:t> Avansa maksājumi ir attiecināmi uz projektu īstenotājiem, kas nav valsts tiešās pārvaldes institūcijas. Jānorāda apmērs, kas nepārsniedz 30 % no attiecināmo izmaksu kopsummas, un jāsaskaņo ar Finanšu ministriju.</w:t>
            </w:r>
          </w:p>
          <w:p w14:paraId="60FD833F"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7</w:t>
            </w:r>
            <w:r w:rsidRPr="00F72E46">
              <w:rPr>
                <w:rFonts w:ascii="Times New Roman" w:hAnsi="Times New Roman" w:cs="Times New Roman"/>
                <w:sz w:val="24"/>
                <w:szCs w:val="24"/>
              </w:rPr>
              <w:t> Apmērs, ko nedrīkst pārsniegt, nesaskaņojot grozījumus Ministru kabinetā. Ja ierobežojumi uz konkrēto pozīciju nav attiecināmi, tad norāda "n/a".</w:t>
            </w:r>
          </w:p>
          <w:p w14:paraId="78A0F6A1"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8</w:t>
            </w:r>
            <w:r w:rsidRPr="00F72E46">
              <w:rPr>
                <w:rFonts w:ascii="Times New Roman" w:hAnsi="Times New Roman" w:cs="Times New Roman"/>
                <w:sz w:val="24"/>
                <w:szCs w:val="24"/>
              </w:rPr>
              <w:t> Informācija, kas norādīta Ministru kabineta 2021. gada 31. augusta noteikumu Nr. 597 "</w:t>
            </w:r>
            <w:hyperlink r:id="rId15" w:tgtFrame="_blank" w:history="1">
              <w:r w:rsidRPr="00F72E46">
                <w:rPr>
                  <w:rStyle w:val="Hyperlink"/>
                  <w:rFonts w:ascii="Times New Roman" w:hAnsi="Times New Roman" w:cs="Times New Roman"/>
                  <w:color w:val="auto"/>
                  <w:sz w:val="24"/>
                  <w:szCs w:val="24"/>
                </w:rPr>
                <w:t>Valsts informācijas sistēmu attīstības projektu uzraudzības kārtība</w:t>
              </w:r>
            </w:hyperlink>
            <w:r w:rsidRPr="00F72E46">
              <w:rPr>
                <w:rFonts w:ascii="Times New Roman" w:hAnsi="Times New Roman" w:cs="Times New Roman"/>
                <w:sz w:val="24"/>
                <w:szCs w:val="24"/>
              </w:rPr>
              <w:t>" (tā sauktā IKT būvvaldes kārtība) </w:t>
            </w:r>
            <w:hyperlink r:id="rId16" w:anchor="piel2" w:tgtFrame="_blank" w:history="1">
              <w:r w:rsidRPr="00F72E46">
                <w:rPr>
                  <w:rStyle w:val="Hyperlink"/>
                  <w:rFonts w:ascii="Times New Roman" w:hAnsi="Times New Roman" w:cs="Times New Roman"/>
                  <w:color w:val="auto"/>
                  <w:sz w:val="24"/>
                  <w:szCs w:val="24"/>
                </w:rPr>
                <w:t>2. pielikuma</w:t>
              </w:r>
            </w:hyperlink>
            <w:r w:rsidRPr="00F72E46">
              <w:rPr>
                <w:rFonts w:ascii="Times New Roman" w:hAnsi="Times New Roman" w:cs="Times New Roman"/>
                <w:sz w:val="24"/>
                <w:szCs w:val="24"/>
              </w:rPr>
              <w:t> "Valsts informācijas sistēmas attīstības aktivitātes apraksts" 6.1. apakšpunktā.</w:t>
            </w:r>
          </w:p>
          <w:p w14:paraId="52226A29" w14:textId="5CF21193"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9</w:t>
            </w:r>
            <w:r w:rsidRPr="00F72E46">
              <w:rPr>
                <w:rFonts w:ascii="Times New Roman" w:hAnsi="Times New Roman" w:cs="Times New Roman"/>
                <w:sz w:val="24"/>
                <w:szCs w:val="24"/>
              </w:rPr>
              <w:t> </w:t>
            </w:r>
            <w:r w:rsidR="00C50890" w:rsidRPr="00F72E46">
              <w:rPr>
                <w:rFonts w:ascii="Times New Roman" w:hAnsi="Times New Roman" w:cs="Times New Roman"/>
                <w:sz w:val="24"/>
                <w:szCs w:val="24"/>
              </w:rPr>
              <w:t>VARAM saskaņojums (VARAM 10.11.2023. atzinums Nr. 11-1/6488)</w:t>
            </w:r>
            <w:r w:rsidRPr="00F72E46">
              <w:rPr>
                <w:rFonts w:ascii="Times New Roman" w:hAnsi="Times New Roman" w:cs="Times New Roman"/>
                <w:sz w:val="24"/>
                <w:szCs w:val="24"/>
              </w:rPr>
              <w:t>.</w:t>
            </w:r>
            <w:r w:rsidR="00B60406" w:rsidRPr="00F72E46">
              <w:rPr>
                <w:rFonts w:ascii="Times New Roman" w:hAnsi="Times New Roman" w:cs="Times New Roman"/>
                <w:sz w:val="24"/>
                <w:szCs w:val="24"/>
              </w:rPr>
              <w:t xml:space="preserve"> </w:t>
            </w:r>
            <w:r w:rsidR="00890100" w:rsidRPr="00F72E46">
              <w:rPr>
                <w:rFonts w:ascii="Times New Roman" w:hAnsi="Times New Roman" w:cs="Times New Roman"/>
                <w:sz w:val="24"/>
                <w:szCs w:val="24"/>
              </w:rPr>
              <w:t>"</w:t>
            </w:r>
            <w:r w:rsidR="00B60406" w:rsidRPr="00F72E46">
              <w:rPr>
                <w:rFonts w:ascii="Times New Roman" w:hAnsi="Times New Roman" w:cs="Times New Roman"/>
                <w:sz w:val="24"/>
                <w:szCs w:val="24"/>
              </w:rPr>
              <w:t>Apliecinām, ka izmaiņas saskaņotajos aprakstos šobrīd netiek identificētas</w:t>
            </w:r>
            <w:r w:rsidR="00890100" w:rsidRPr="00F72E46">
              <w:rPr>
                <w:rFonts w:ascii="Times New Roman" w:hAnsi="Times New Roman" w:cs="Times New Roman"/>
                <w:sz w:val="24"/>
                <w:szCs w:val="24"/>
              </w:rPr>
              <w:t>".</w:t>
            </w:r>
            <w:r w:rsidR="00F04B81">
              <w:rPr>
                <w:rFonts w:ascii="Times New Roman" w:hAnsi="Times New Roman" w:cs="Times New Roman"/>
                <w:sz w:val="24"/>
                <w:szCs w:val="24"/>
              </w:rPr>
              <w:t xml:space="preserve"> </w:t>
            </w:r>
            <w:r w:rsidR="00D02A2B" w:rsidRPr="00073C4D">
              <w:rPr>
                <w:rFonts w:ascii="Times New Roman" w:hAnsi="Times New Roman" w:cs="Times New Roman"/>
                <w:sz w:val="24"/>
                <w:szCs w:val="24"/>
              </w:rPr>
              <w:t>Projekta ietvaros īstenoto IKT risinājumu attīstības aktivitāšu izmaiņu pieprasījumi</w:t>
            </w:r>
            <w:r w:rsidR="00D02A2B">
              <w:rPr>
                <w:rFonts w:ascii="Times New Roman" w:hAnsi="Times New Roman" w:cs="Times New Roman"/>
                <w:sz w:val="24"/>
                <w:szCs w:val="24"/>
              </w:rPr>
              <w:t xml:space="preserve"> projekta pases grozījumu Nr. 2 veikšanai</w:t>
            </w:r>
            <w:r w:rsidR="00D02A2B" w:rsidRPr="00073C4D">
              <w:rPr>
                <w:rFonts w:ascii="Times New Roman" w:hAnsi="Times New Roman" w:cs="Times New Roman"/>
                <w:sz w:val="24"/>
                <w:szCs w:val="24"/>
              </w:rPr>
              <w:t xml:space="preserve"> ir </w:t>
            </w:r>
            <w:r w:rsidR="00D02A2B" w:rsidRPr="00073C4D">
              <w:rPr>
                <w:rFonts w:ascii="Times New Roman" w:hAnsi="Times New Roman" w:cs="Times New Roman"/>
                <w:sz w:val="24"/>
                <w:szCs w:val="24"/>
              </w:rPr>
              <w:lastRenderedPageBreak/>
              <w:t>saskaņoti ar VARAM, apliecinot aktivitāšu atbilstību valsts digitālās pārvaldības un informācijas sistēmu attīstības principiem (2025.gada maija VARAM IKT resursa attīstības aktivitāšu vērtēšanas komisijas atzinums (prot. Nr. P-IKT/57/2025))</w:t>
            </w:r>
            <w:r w:rsidR="00D02A2B">
              <w:rPr>
                <w:rFonts w:ascii="Times New Roman" w:hAnsi="Times New Roman" w:cs="Times New Roman"/>
                <w:sz w:val="24"/>
                <w:szCs w:val="24"/>
              </w:rPr>
              <w:t>.</w:t>
            </w:r>
          </w:p>
          <w:p w14:paraId="0D4F817C" w14:textId="30DC4C8E"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10</w:t>
            </w:r>
            <w:r w:rsidRPr="00F72E46">
              <w:rPr>
                <w:rFonts w:ascii="Times New Roman" w:hAnsi="Times New Roman" w:cs="Times New Roman"/>
                <w:sz w:val="24"/>
                <w:szCs w:val="24"/>
              </w:rPr>
              <w:t> Ja koplietošanas pakalpojuma attīstības plāns tiek iesniegts vienlaikus ar Ministru kabineta rīkojumu par projekta atlases kārtu, pievieno attiecīgu norādi.</w:t>
            </w:r>
          </w:p>
          <w:p w14:paraId="3E273CA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11</w:t>
            </w:r>
            <w:r w:rsidRPr="00F72E46">
              <w:rPr>
                <w:rFonts w:ascii="Times New Roman" w:hAnsi="Times New Roman" w:cs="Times New Roman"/>
                <w:sz w:val="24"/>
                <w:szCs w:val="24"/>
              </w:rPr>
              <w:t> Kapitālsabiedrības un pašvaldības norāda arī finanšu kapacitāti atbilstoši finansēšanas nosacījumiem.</w:t>
            </w:r>
          </w:p>
          <w:p w14:paraId="024F8F65"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12</w:t>
            </w:r>
            <w:r w:rsidRPr="00F72E46">
              <w:rPr>
                <w:rFonts w:ascii="Times New Roman" w:hAnsi="Times New Roman" w:cs="Times New Roman"/>
                <w:sz w:val="24"/>
                <w:szCs w:val="24"/>
              </w:rPr>
              <w:t> Ieguvumu analīze ir veikta atbilstoši pieejamiem 2022. gada datiem, un inflācijas ietekme turpmākajos periodos netiek ņemta vērā.</w:t>
            </w:r>
          </w:p>
          <w:p w14:paraId="413CC14D" w14:textId="77777777"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13</w:t>
            </w:r>
            <w:r w:rsidRPr="00F72E46">
              <w:rPr>
                <w:rFonts w:ascii="Times New Roman" w:hAnsi="Times New Roman" w:cs="Times New Roman"/>
                <w:sz w:val="24"/>
                <w:szCs w:val="24"/>
              </w:rPr>
              <w:t> https://stat.gov.lv/sites/default/files/press_release/2022-09/Rīgas%20un%20Pierīgas%20iedzīvotāju%20pārvietošanās%20paradumu%20analīze.pdf</w:t>
            </w:r>
          </w:p>
          <w:p w14:paraId="6D23AFAF" w14:textId="77777777" w:rsidR="004C49B2"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14</w:t>
            </w:r>
            <w:r w:rsidRPr="00F72E46">
              <w:rPr>
                <w:rFonts w:ascii="Times New Roman" w:hAnsi="Times New Roman" w:cs="Times New Roman"/>
                <w:sz w:val="24"/>
                <w:szCs w:val="24"/>
              </w:rPr>
              <w:t> </w:t>
            </w:r>
            <w:r w:rsidR="004E233F" w:rsidRPr="00F72E46">
              <w:rPr>
                <w:rFonts w:ascii="Times New Roman" w:hAnsi="Times New Roman" w:cs="Times New Roman"/>
                <w:sz w:val="24"/>
                <w:szCs w:val="24"/>
              </w:rPr>
              <w:t xml:space="preserve"> </w:t>
            </w:r>
            <w:hyperlink r:id="rId17" w:tgtFrame="_blank" w:history="1">
              <w:r w:rsidR="004C49B2" w:rsidRPr="00F72E46">
                <w:rPr>
                  <w:rStyle w:val="Hyperlink"/>
                  <w:rFonts w:ascii="Times New Roman" w:hAnsi="Times New Roman" w:cs="Times New Roman"/>
                  <w:color w:val="auto"/>
                  <w:sz w:val="24"/>
                  <w:szCs w:val="24"/>
                </w:rPr>
                <w:t>https://www.esfondi.lv/normativie-akti-un-dokumenti/2021-2027-planosanas-periods/vienas-vienibas-izmaksu-standarta-likmes-aprekina-un-piemerosanas-metodika-1-km-izmaksam-darbibas-programmas-izaugsme-un-nodarbinatiba-un-eiropas-savienibas-kohezijas-politikas-programmas-2021-2027-gadam-istenosanai</w:t>
              </w:r>
            </w:hyperlink>
            <w:r w:rsidR="004C49B2" w:rsidRPr="00F72E46">
              <w:rPr>
                <w:rFonts w:ascii="Times New Roman" w:hAnsi="Times New Roman" w:cs="Times New Roman"/>
                <w:sz w:val="24"/>
                <w:szCs w:val="24"/>
              </w:rPr>
              <w:t>  </w:t>
            </w:r>
          </w:p>
          <w:p w14:paraId="2246E71F" w14:textId="40874E3B" w:rsidR="003A0C1A" w:rsidRPr="00F72E46" w:rsidRDefault="003A0C1A"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15</w:t>
            </w:r>
            <w:r w:rsidRPr="00F72E46">
              <w:rPr>
                <w:rFonts w:ascii="Times New Roman" w:hAnsi="Times New Roman" w:cs="Times New Roman"/>
                <w:sz w:val="24"/>
                <w:szCs w:val="24"/>
              </w:rPr>
              <w:t> </w:t>
            </w:r>
            <w:hyperlink r:id="rId18" w:tgtFrame="_blank" w:history="1">
              <w:r w:rsidR="004C49B2" w:rsidRPr="00F72E46">
                <w:rPr>
                  <w:rStyle w:val="Hyperlink"/>
                  <w:rFonts w:ascii="Times New Roman" w:hAnsi="Times New Roman" w:cs="Times New Roman"/>
                  <w:color w:val="auto"/>
                  <w:sz w:val="24"/>
                  <w:szCs w:val="24"/>
                </w:rPr>
                <w:t>https://www.esfondi.lv/normativie-akti-un-dokumenti/2021-2027-planosanas-periods/vienas-vienibas-izmaksu-standarta-likmes-aprekina-un-piemerosanas-metodika-1-km-izmaksam-darbibas-programmas-izaugsme-un-nodarbinatiba-un-eiropas-savienibas-kohezijas-politikas-programmas-2021-2027-gadam-istenosanai</w:t>
              </w:r>
            </w:hyperlink>
            <w:r w:rsidR="00173796" w:rsidRPr="00F72E46">
              <w:rPr>
                <w:rFonts w:ascii="Times New Roman" w:hAnsi="Times New Roman" w:cs="Times New Roman"/>
                <w:sz w:val="24"/>
                <w:szCs w:val="24"/>
              </w:rPr>
              <w:t>"</w:t>
            </w:r>
            <w:r w:rsidR="004C49B2" w:rsidRPr="00F72E46">
              <w:rPr>
                <w:rFonts w:ascii="Times New Roman" w:hAnsi="Times New Roman" w:cs="Times New Roman"/>
                <w:sz w:val="24"/>
                <w:szCs w:val="24"/>
              </w:rPr>
              <w:t>  </w:t>
            </w:r>
          </w:p>
        </w:tc>
        <w:tc>
          <w:tcPr>
            <w:tcW w:w="35" w:type="pct"/>
            <w:vAlign w:val="center"/>
            <w:hideMark/>
          </w:tcPr>
          <w:p w14:paraId="151D5473" w14:textId="77777777" w:rsidR="003A0C1A" w:rsidRPr="00F72E46" w:rsidRDefault="003A0C1A" w:rsidP="00456FC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lastRenderedPageBreak/>
              <w:t> </w:t>
            </w:r>
          </w:p>
        </w:tc>
        <w:tc>
          <w:tcPr>
            <w:tcW w:w="3" w:type="pct"/>
            <w:hideMark/>
          </w:tcPr>
          <w:p w14:paraId="7D844CF6" w14:textId="79C6EA62" w:rsidR="003A0C1A" w:rsidRPr="00F72E46" w:rsidRDefault="003A0C1A" w:rsidP="00456FCB">
            <w:pPr>
              <w:numPr>
                <w:ilvl w:val="0"/>
                <w:numId w:val="1"/>
              </w:numPr>
              <w:spacing w:after="0" w:line="240" w:lineRule="auto"/>
              <w:ind w:left="0"/>
              <w:rPr>
                <w:rFonts w:ascii="Times New Roman" w:hAnsi="Times New Roman" w:cs="Times New Roman"/>
                <w:b/>
                <w:bCs/>
                <w:sz w:val="24"/>
                <w:szCs w:val="24"/>
              </w:rPr>
            </w:pPr>
          </w:p>
        </w:tc>
      </w:tr>
      <w:tr w:rsidR="00344CC8" w:rsidRPr="003A0C1A" w14:paraId="3184CA45" w14:textId="77777777" w:rsidTr="64AB79F5">
        <w:trPr>
          <w:gridBefore w:val="1"/>
          <w:wBefore w:w="166" w:type="pct"/>
          <w:tblCellSpacing w:w="0" w:type="dxa"/>
        </w:trPr>
        <w:tc>
          <w:tcPr>
            <w:tcW w:w="4799" w:type="pct"/>
            <w:gridSpan w:val="4"/>
          </w:tcPr>
          <w:p w14:paraId="06451436" w14:textId="77777777" w:rsidR="00344CC8" w:rsidRPr="00F72E46" w:rsidRDefault="00344CC8" w:rsidP="002D627E">
            <w:pPr>
              <w:jc w:val="right"/>
            </w:pPr>
          </w:p>
          <w:p w14:paraId="2742A69A" w14:textId="77777777" w:rsidR="00344CC8" w:rsidRPr="00F72E46" w:rsidRDefault="00344CC8" w:rsidP="002D627E">
            <w:pPr>
              <w:jc w:val="right"/>
            </w:pPr>
          </w:p>
        </w:tc>
        <w:tc>
          <w:tcPr>
            <w:tcW w:w="32" w:type="pct"/>
            <w:vAlign w:val="center"/>
          </w:tcPr>
          <w:p w14:paraId="42FE37F7" w14:textId="77777777" w:rsidR="00344CC8" w:rsidRPr="008037CB" w:rsidRDefault="00344CC8" w:rsidP="003A0C1A"/>
        </w:tc>
        <w:tc>
          <w:tcPr>
            <w:tcW w:w="3" w:type="pct"/>
          </w:tcPr>
          <w:p w14:paraId="2DB5C64A" w14:textId="77777777" w:rsidR="00344CC8" w:rsidRPr="008037CB" w:rsidRDefault="00344CC8" w:rsidP="003A0C1A">
            <w:pPr>
              <w:numPr>
                <w:ilvl w:val="0"/>
                <w:numId w:val="1"/>
              </w:numPr>
              <w:rPr>
                <w:b/>
                <w:bCs/>
              </w:rPr>
            </w:pPr>
          </w:p>
        </w:tc>
      </w:tr>
      <w:bookmarkEnd w:id="1"/>
    </w:tbl>
    <w:p w14:paraId="2A7CD14A" w14:textId="77777777" w:rsidR="003A0C1A" w:rsidRPr="003A0C1A" w:rsidRDefault="003A0C1A" w:rsidP="00020D98">
      <w:pPr>
        <w:ind w:left="720"/>
        <w:rPr>
          <w:b/>
          <w:bCs/>
        </w:rPr>
      </w:pPr>
    </w:p>
    <w:p w14:paraId="1175C9CB" w14:textId="77777777" w:rsidR="003A0C1A" w:rsidRPr="003A0C1A" w:rsidRDefault="003A0C1A" w:rsidP="003A0C1A">
      <w:r w:rsidRPr="003A0C1A">
        <w:t> </w:t>
      </w:r>
    </w:p>
    <w:p w14:paraId="2C295DFE" w14:textId="77777777" w:rsidR="00611D35" w:rsidRDefault="00611D35"/>
    <w:sectPr w:rsidR="00611D35" w:rsidSect="00A53DDB">
      <w:headerReference w:type="default" r:id="rId19"/>
      <w:footerReference w:type="default" r:id="rId20"/>
      <w:footerReference w:type="first" r:id="rId21"/>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1C20" w14:textId="77777777" w:rsidR="00433826" w:rsidRDefault="00433826" w:rsidP="00456FCB">
      <w:pPr>
        <w:spacing w:after="0" w:line="240" w:lineRule="auto"/>
      </w:pPr>
      <w:r>
        <w:separator/>
      </w:r>
    </w:p>
  </w:endnote>
  <w:endnote w:type="continuationSeparator" w:id="0">
    <w:p w14:paraId="6A48BA2E" w14:textId="77777777" w:rsidR="00433826" w:rsidRDefault="00433826" w:rsidP="00456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1103" w14:textId="6D380425" w:rsidR="00456FCB" w:rsidRPr="00456FCB" w:rsidRDefault="00456FCB">
    <w:pPr>
      <w:pStyle w:val="Footer"/>
      <w:rPr>
        <w:rFonts w:ascii="Times New Roman" w:hAnsi="Times New Roman" w:cs="Times New Roman"/>
        <w:sz w:val="16"/>
        <w:szCs w:val="16"/>
      </w:rPr>
    </w:pPr>
    <w:r w:rsidRPr="00456FCB">
      <w:rPr>
        <w:rFonts w:ascii="Times New Roman" w:hAnsi="Times New Roman" w:cs="Times New Roman"/>
        <w:sz w:val="16"/>
        <w:szCs w:val="16"/>
      </w:rPr>
      <w:t>R2261_4p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6664" w14:textId="1597BEA1" w:rsidR="00456FCB" w:rsidRPr="001031FE" w:rsidRDefault="001118A6">
    <w:pPr>
      <w:pStyle w:val="Footer"/>
      <w:rPr>
        <w:rFonts w:ascii="Times New Roman" w:hAnsi="Times New Roman" w:cs="Times New Roman"/>
        <w:sz w:val="16"/>
        <w:szCs w:val="16"/>
      </w:rPr>
    </w:pPr>
    <w:r w:rsidRPr="00456FCB">
      <w:rPr>
        <w:rFonts w:ascii="Times New Roman" w:hAnsi="Times New Roman" w:cs="Times New Roman"/>
        <w:sz w:val="16"/>
        <w:szCs w:val="16"/>
      </w:rPr>
      <w:t>R2261_4p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05FB" w14:textId="77777777" w:rsidR="00433826" w:rsidRDefault="00433826" w:rsidP="00456FCB">
      <w:pPr>
        <w:spacing w:after="0" w:line="240" w:lineRule="auto"/>
      </w:pPr>
      <w:r>
        <w:separator/>
      </w:r>
    </w:p>
  </w:footnote>
  <w:footnote w:type="continuationSeparator" w:id="0">
    <w:p w14:paraId="551DB034" w14:textId="77777777" w:rsidR="00433826" w:rsidRDefault="00433826" w:rsidP="00456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839916"/>
      <w:docPartObj>
        <w:docPartGallery w:val="Page Numbers (Top of Page)"/>
        <w:docPartUnique/>
      </w:docPartObj>
    </w:sdtPr>
    <w:sdtEndPr>
      <w:rPr>
        <w:rFonts w:ascii="Times New Roman" w:hAnsi="Times New Roman" w:cs="Times New Roman"/>
        <w:noProof/>
        <w:sz w:val="24"/>
        <w:szCs w:val="24"/>
      </w:rPr>
    </w:sdtEndPr>
    <w:sdtContent>
      <w:p w14:paraId="6166B53A" w14:textId="3CEB85A7" w:rsidR="00456FCB" w:rsidRPr="00456FCB" w:rsidRDefault="00456FCB">
        <w:pPr>
          <w:pStyle w:val="Header"/>
          <w:jc w:val="center"/>
          <w:rPr>
            <w:rFonts w:ascii="Times New Roman" w:hAnsi="Times New Roman" w:cs="Times New Roman"/>
            <w:sz w:val="24"/>
            <w:szCs w:val="24"/>
          </w:rPr>
        </w:pPr>
        <w:r w:rsidRPr="00456FCB">
          <w:rPr>
            <w:rFonts w:ascii="Times New Roman" w:hAnsi="Times New Roman" w:cs="Times New Roman"/>
            <w:sz w:val="24"/>
            <w:szCs w:val="24"/>
          </w:rPr>
          <w:fldChar w:fldCharType="begin"/>
        </w:r>
        <w:r w:rsidRPr="00456FCB">
          <w:rPr>
            <w:rFonts w:ascii="Times New Roman" w:hAnsi="Times New Roman" w:cs="Times New Roman"/>
            <w:sz w:val="24"/>
            <w:szCs w:val="24"/>
          </w:rPr>
          <w:instrText xml:space="preserve"> PAGE   \* MERGEFORMAT </w:instrText>
        </w:r>
        <w:r w:rsidRPr="00456FCB">
          <w:rPr>
            <w:rFonts w:ascii="Times New Roman" w:hAnsi="Times New Roman" w:cs="Times New Roman"/>
            <w:sz w:val="24"/>
            <w:szCs w:val="24"/>
          </w:rPr>
          <w:fldChar w:fldCharType="separate"/>
        </w:r>
        <w:r w:rsidRPr="00456FCB">
          <w:rPr>
            <w:rFonts w:ascii="Times New Roman" w:hAnsi="Times New Roman" w:cs="Times New Roman"/>
            <w:noProof/>
            <w:sz w:val="24"/>
            <w:szCs w:val="24"/>
          </w:rPr>
          <w:t>2</w:t>
        </w:r>
        <w:r w:rsidRPr="00456FCB">
          <w:rPr>
            <w:rFonts w:ascii="Times New Roman" w:hAnsi="Times New Roman" w:cs="Times New Roman"/>
            <w:noProof/>
            <w:sz w:val="24"/>
            <w:szCs w:val="24"/>
          </w:rPr>
          <w:fldChar w:fldCharType="end"/>
        </w:r>
      </w:p>
    </w:sdtContent>
  </w:sdt>
  <w:p w14:paraId="4BE2F5B4" w14:textId="77777777" w:rsidR="00456FCB" w:rsidRDefault="00456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04011"/>
    <w:multiLevelType w:val="multilevel"/>
    <w:tmpl w:val="FD8E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656718"/>
    <w:multiLevelType w:val="hybridMultilevel"/>
    <w:tmpl w:val="B0B24AA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7697468F"/>
    <w:multiLevelType w:val="multilevel"/>
    <w:tmpl w:val="34EA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4245895">
    <w:abstractNumId w:val="2"/>
  </w:num>
  <w:num w:numId="2" w16cid:durableId="783810791">
    <w:abstractNumId w:val="0"/>
  </w:num>
  <w:num w:numId="3" w16cid:durableId="1555392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1A"/>
    <w:rsid w:val="000153C0"/>
    <w:rsid w:val="00020D98"/>
    <w:rsid w:val="00032A04"/>
    <w:rsid w:val="00033A3C"/>
    <w:rsid w:val="00036C24"/>
    <w:rsid w:val="0005153C"/>
    <w:rsid w:val="0005511D"/>
    <w:rsid w:val="0006456D"/>
    <w:rsid w:val="0006551C"/>
    <w:rsid w:val="000A7918"/>
    <w:rsid w:val="000C1141"/>
    <w:rsid w:val="00102F23"/>
    <w:rsid w:val="001031FE"/>
    <w:rsid w:val="001118A6"/>
    <w:rsid w:val="0011231A"/>
    <w:rsid w:val="001137D0"/>
    <w:rsid w:val="001171E2"/>
    <w:rsid w:val="0013268E"/>
    <w:rsid w:val="0015789A"/>
    <w:rsid w:val="00173796"/>
    <w:rsid w:val="00174062"/>
    <w:rsid w:val="00185CE1"/>
    <w:rsid w:val="001C3427"/>
    <w:rsid w:val="001E4E00"/>
    <w:rsid w:val="00201844"/>
    <w:rsid w:val="00232AE5"/>
    <w:rsid w:val="002620E4"/>
    <w:rsid w:val="00265F88"/>
    <w:rsid w:val="002D627E"/>
    <w:rsid w:val="002F1367"/>
    <w:rsid w:val="00332DF4"/>
    <w:rsid w:val="00337999"/>
    <w:rsid w:val="00344CC8"/>
    <w:rsid w:val="003519DF"/>
    <w:rsid w:val="0037248C"/>
    <w:rsid w:val="003802B7"/>
    <w:rsid w:val="003826A3"/>
    <w:rsid w:val="00390DB7"/>
    <w:rsid w:val="00395C10"/>
    <w:rsid w:val="003A0C1A"/>
    <w:rsid w:val="003B1102"/>
    <w:rsid w:val="003D5B00"/>
    <w:rsid w:val="003E44B6"/>
    <w:rsid w:val="003E6229"/>
    <w:rsid w:val="00400864"/>
    <w:rsid w:val="00407531"/>
    <w:rsid w:val="00416721"/>
    <w:rsid w:val="00416928"/>
    <w:rsid w:val="00433826"/>
    <w:rsid w:val="00456FCB"/>
    <w:rsid w:val="004676BF"/>
    <w:rsid w:val="00476C0D"/>
    <w:rsid w:val="004A5894"/>
    <w:rsid w:val="004B741C"/>
    <w:rsid w:val="004C49B2"/>
    <w:rsid w:val="004D5545"/>
    <w:rsid w:val="004E233F"/>
    <w:rsid w:val="004E4824"/>
    <w:rsid w:val="00513182"/>
    <w:rsid w:val="00514534"/>
    <w:rsid w:val="00524938"/>
    <w:rsid w:val="005375A2"/>
    <w:rsid w:val="00563825"/>
    <w:rsid w:val="005735ED"/>
    <w:rsid w:val="00587AEA"/>
    <w:rsid w:val="005931BC"/>
    <w:rsid w:val="005D50CA"/>
    <w:rsid w:val="005E43A7"/>
    <w:rsid w:val="00611D35"/>
    <w:rsid w:val="00614CD4"/>
    <w:rsid w:val="006232BB"/>
    <w:rsid w:val="006319C4"/>
    <w:rsid w:val="00631CEB"/>
    <w:rsid w:val="006423DB"/>
    <w:rsid w:val="00642F53"/>
    <w:rsid w:val="00645482"/>
    <w:rsid w:val="0065543F"/>
    <w:rsid w:val="00671F60"/>
    <w:rsid w:val="006B227D"/>
    <w:rsid w:val="006D1070"/>
    <w:rsid w:val="006E77EA"/>
    <w:rsid w:val="0072402F"/>
    <w:rsid w:val="00734F4D"/>
    <w:rsid w:val="0074376F"/>
    <w:rsid w:val="00753FBD"/>
    <w:rsid w:val="00756610"/>
    <w:rsid w:val="00797CCC"/>
    <w:rsid w:val="007A650E"/>
    <w:rsid w:val="007D41CE"/>
    <w:rsid w:val="007F4DF8"/>
    <w:rsid w:val="008037CB"/>
    <w:rsid w:val="008043BF"/>
    <w:rsid w:val="00810794"/>
    <w:rsid w:val="00836C35"/>
    <w:rsid w:val="00850EC3"/>
    <w:rsid w:val="0086503E"/>
    <w:rsid w:val="00867489"/>
    <w:rsid w:val="00890100"/>
    <w:rsid w:val="008B35B3"/>
    <w:rsid w:val="008C38B1"/>
    <w:rsid w:val="008C4D77"/>
    <w:rsid w:val="008C58ED"/>
    <w:rsid w:val="008D12C9"/>
    <w:rsid w:val="008E3A1C"/>
    <w:rsid w:val="008F38B9"/>
    <w:rsid w:val="00914EF6"/>
    <w:rsid w:val="00925122"/>
    <w:rsid w:val="00941B0D"/>
    <w:rsid w:val="00942DF7"/>
    <w:rsid w:val="009545E8"/>
    <w:rsid w:val="00986522"/>
    <w:rsid w:val="009D74F5"/>
    <w:rsid w:val="00A23083"/>
    <w:rsid w:val="00A32DE4"/>
    <w:rsid w:val="00A53DDB"/>
    <w:rsid w:val="00A73640"/>
    <w:rsid w:val="00A739C5"/>
    <w:rsid w:val="00A94C72"/>
    <w:rsid w:val="00AA7609"/>
    <w:rsid w:val="00AB12AD"/>
    <w:rsid w:val="00AB478B"/>
    <w:rsid w:val="00AC2141"/>
    <w:rsid w:val="00AC4698"/>
    <w:rsid w:val="00AF2EA8"/>
    <w:rsid w:val="00B05D5D"/>
    <w:rsid w:val="00B15350"/>
    <w:rsid w:val="00B266BB"/>
    <w:rsid w:val="00B3072F"/>
    <w:rsid w:val="00B30AB2"/>
    <w:rsid w:val="00B4024D"/>
    <w:rsid w:val="00B5480D"/>
    <w:rsid w:val="00B60406"/>
    <w:rsid w:val="00B7095E"/>
    <w:rsid w:val="00B74012"/>
    <w:rsid w:val="00B9790C"/>
    <w:rsid w:val="00BE1CAB"/>
    <w:rsid w:val="00BF0973"/>
    <w:rsid w:val="00BF09EB"/>
    <w:rsid w:val="00C11715"/>
    <w:rsid w:val="00C35798"/>
    <w:rsid w:val="00C37574"/>
    <w:rsid w:val="00C50890"/>
    <w:rsid w:val="00C5659D"/>
    <w:rsid w:val="00CB28C3"/>
    <w:rsid w:val="00CB5688"/>
    <w:rsid w:val="00CF0E06"/>
    <w:rsid w:val="00D00E56"/>
    <w:rsid w:val="00D02A2B"/>
    <w:rsid w:val="00D03863"/>
    <w:rsid w:val="00D05B0C"/>
    <w:rsid w:val="00D65434"/>
    <w:rsid w:val="00D839BF"/>
    <w:rsid w:val="00DC4F16"/>
    <w:rsid w:val="00DC6485"/>
    <w:rsid w:val="00DC705A"/>
    <w:rsid w:val="00DE1515"/>
    <w:rsid w:val="00DE35E0"/>
    <w:rsid w:val="00DE7F3E"/>
    <w:rsid w:val="00DF131B"/>
    <w:rsid w:val="00E02A12"/>
    <w:rsid w:val="00E05831"/>
    <w:rsid w:val="00E0684D"/>
    <w:rsid w:val="00E11B55"/>
    <w:rsid w:val="00E45489"/>
    <w:rsid w:val="00E66F48"/>
    <w:rsid w:val="00E7202D"/>
    <w:rsid w:val="00E734A1"/>
    <w:rsid w:val="00EA2709"/>
    <w:rsid w:val="00EA62F2"/>
    <w:rsid w:val="00EB7558"/>
    <w:rsid w:val="00F04B81"/>
    <w:rsid w:val="00F05CBD"/>
    <w:rsid w:val="00F137ED"/>
    <w:rsid w:val="00F16476"/>
    <w:rsid w:val="00F41F44"/>
    <w:rsid w:val="00F47E92"/>
    <w:rsid w:val="00F634F0"/>
    <w:rsid w:val="00F72E46"/>
    <w:rsid w:val="00F845CC"/>
    <w:rsid w:val="00FB3EA9"/>
    <w:rsid w:val="00FD6B93"/>
    <w:rsid w:val="02267CEF"/>
    <w:rsid w:val="024C6992"/>
    <w:rsid w:val="04319F69"/>
    <w:rsid w:val="06A7799E"/>
    <w:rsid w:val="084F57BE"/>
    <w:rsid w:val="08878F47"/>
    <w:rsid w:val="0B4FF2E5"/>
    <w:rsid w:val="0B53B987"/>
    <w:rsid w:val="0BBE7A6B"/>
    <w:rsid w:val="0D7AEDCC"/>
    <w:rsid w:val="0DE2E8B2"/>
    <w:rsid w:val="0E64135D"/>
    <w:rsid w:val="0E7B510C"/>
    <w:rsid w:val="10B632F6"/>
    <w:rsid w:val="11B50512"/>
    <w:rsid w:val="11C33B37"/>
    <w:rsid w:val="12080F3F"/>
    <w:rsid w:val="12538C2E"/>
    <w:rsid w:val="150CEE55"/>
    <w:rsid w:val="15AEE0DE"/>
    <w:rsid w:val="1692A7C4"/>
    <w:rsid w:val="193B0C1F"/>
    <w:rsid w:val="1B235EFE"/>
    <w:rsid w:val="1D4FF86A"/>
    <w:rsid w:val="1DE08A30"/>
    <w:rsid w:val="1E00C473"/>
    <w:rsid w:val="1E681162"/>
    <w:rsid w:val="1F27A3DD"/>
    <w:rsid w:val="212D39D7"/>
    <w:rsid w:val="2193413E"/>
    <w:rsid w:val="2214B1D9"/>
    <w:rsid w:val="222C9CBF"/>
    <w:rsid w:val="22BC6305"/>
    <w:rsid w:val="22D4CFFF"/>
    <w:rsid w:val="25E3B06C"/>
    <w:rsid w:val="279BBFC3"/>
    <w:rsid w:val="27D3B89A"/>
    <w:rsid w:val="28D4BF85"/>
    <w:rsid w:val="2A68318E"/>
    <w:rsid w:val="2DD198BF"/>
    <w:rsid w:val="2E03745E"/>
    <w:rsid w:val="2FE7A9B3"/>
    <w:rsid w:val="309D1718"/>
    <w:rsid w:val="30B43797"/>
    <w:rsid w:val="32D698E1"/>
    <w:rsid w:val="32E8990C"/>
    <w:rsid w:val="35825BD9"/>
    <w:rsid w:val="3589B489"/>
    <w:rsid w:val="35BF7C71"/>
    <w:rsid w:val="3693356A"/>
    <w:rsid w:val="36DF4E07"/>
    <w:rsid w:val="3774F861"/>
    <w:rsid w:val="37B3E4A8"/>
    <w:rsid w:val="3A605F73"/>
    <w:rsid w:val="3D81BAC6"/>
    <w:rsid w:val="3FECD984"/>
    <w:rsid w:val="40FD75A2"/>
    <w:rsid w:val="41176860"/>
    <w:rsid w:val="423B8C82"/>
    <w:rsid w:val="431B7842"/>
    <w:rsid w:val="43F26662"/>
    <w:rsid w:val="445D2AD4"/>
    <w:rsid w:val="4612FBAA"/>
    <w:rsid w:val="46B31033"/>
    <w:rsid w:val="47788B66"/>
    <w:rsid w:val="493464DC"/>
    <w:rsid w:val="4A2415A2"/>
    <w:rsid w:val="4A3E29D6"/>
    <w:rsid w:val="4AA2678C"/>
    <w:rsid w:val="4AED5840"/>
    <w:rsid w:val="4BAA71EA"/>
    <w:rsid w:val="4D1123E4"/>
    <w:rsid w:val="4E42A014"/>
    <w:rsid w:val="4FB8CD82"/>
    <w:rsid w:val="50FCBF15"/>
    <w:rsid w:val="534547A1"/>
    <w:rsid w:val="53D3B787"/>
    <w:rsid w:val="569E2F39"/>
    <w:rsid w:val="56B61415"/>
    <w:rsid w:val="56FCCCD0"/>
    <w:rsid w:val="57D8B84E"/>
    <w:rsid w:val="5811A8DC"/>
    <w:rsid w:val="58E01AD6"/>
    <w:rsid w:val="59BC83D1"/>
    <w:rsid w:val="5A89E9D1"/>
    <w:rsid w:val="5AA4C16A"/>
    <w:rsid w:val="5BBC9502"/>
    <w:rsid w:val="5DCC54C5"/>
    <w:rsid w:val="5EB2F160"/>
    <w:rsid w:val="649F6B64"/>
    <w:rsid w:val="64AB79F5"/>
    <w:rsid w:val="657F5A42"/>
    <w:rsid w:val="658B2E0F"/>
    <w:rsid w:val="65A7FFDB"/>
    <w:rsid w:val="667245FD"/>
    <w:rsid w:val="6807CDE3"/>
    <w:rsid w:val="68498F04"/>
    <w:rsid w:val="68CF8AA3"/>
    <w:rsid w:val="6AE10210"/>
    <w:rsid w:val="6BE04F82"/>
    <w:rsid w:val="6C843144"/>
    <w:rsid w:val="6CE3B7FD"/>
    <w:rsid w:val="6EA1BDB3"/>
    <w:rsid w:val="706684D1"/>
    <w:rsid w:val="70A81416"/>
    <w:rsid w:val="70B9A453"/>
    <w:rsid w:val="71CB9A17"/>
    <w:rsid w:val="71CE6D7F"/>
    <w:rsid w:val="73797D19"/>
    <w:rsid w:val="738EB542"/>
    <w:rsid w:val="7436A584"/>
    <w:rsid w:val="7524F181"/>
    <w:rsid w:val="769BF566"/>
    <w:rsid w:val="78400EC2"/>
    <w:rsid w:val="79A2C18B"/>
    <w:rsid w:val="7A999FA1"/>
    <w:rsid w:val="7C0B5DE8"/>
    <w:rsid w:val="7C6C9CE9"/>
    <w:rsid w:val="7E43FCE4"/>
    <w:rsid w:val="7F68B31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672B85"/>
  <w15:chartTrackingRefBased/>
  <w15:docId w15:val="{F28A020F-D4CC-4B54-892F-B5DE66C54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0C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C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C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C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C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C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C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C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C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C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C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C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C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C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C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C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C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C1A"/>
    <w:rPr>
      <w:rFonts w:eastAsiaTheme="majorEastAsia" w:cstheme="majorBidi"/>
      <w:color w:val="272727" w:themeColor="text1" w:themeTint="D8"/>
    </w:rPr>
  </w:style>
  <w:style w:type="paragraph" w:styleId="Title">
    <w:name w:val="Title"/>
    <w:basedOn w:val="Normal"/>
    <w:next w:val="Normal"/>
    <w:link w:val="TitleChar"/>
    <w:uiPriority w:val="10"/>
    <w:qFormat/>
    <w:rsid w:val="003A0C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C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C1A"/>
    <w:pPr>
      <w:spacing w:before="160"/>
      <w:jc w:val="center"/>
    </w:pPr>
    <w:rPr>
      <w:i/>
      <w:iCs/>
      <w:color w:val="404040" w:themeColor="text1" w:themeTint="BF"/>
    </w:rPr>
  </w:style>
  <w:style w:type="character" w:customStyle="1" w:styleId="QuoteChar">
    <w:name w:val="Quote Char"/>
    <w:basedOn w:val="DefaultParagraphFont"/>
    <w:link w:val="Quote"/>
    <w:uiPriority w:val="29"/>
    <w:rsid w:val="003A0C1A"/>
    <w:rPr>
      <w:i/>
      <w:iCs/>
      <w:color w:val="404040" w:themeColor="text1" w:themeTint="BF"/>
    </w:rPr>
  </w:style>
  <w:style w:type="paragraph" w:styleId="ListParagraph">
    <w:name w:val="List Paragraph"/>
    <w:basedOn w:val="Normal"/>
    <w:uiPriority w:val="34"/>
    <w:qFormat/>
    <w:rsid w:val="003A0C1A"/>
    <w:pPr>
      <w:ind w:left="720"/>
      <w:contextualSpacing/>
    </w:pPr>
  </w:style>
  <w:style w:type="character" w:styleId="IntenseEmphasis">
    <w:name w:val="Intense Emphasis"/>
    <w:basedOn w:val="DefaultParagraphFont"/>
    <w:uiPriority w:val="21"/>
    <w:qFormat/>
    <w:rsid w:val="003A0C1A"/>
    <w:rPr>
      <w:i/>
      <w:iCs/>
      <w:color w:val="0F4761" w:themeColor="accent1" w:themeShade="BF"/>
    </w:rPr>
  </w:style>
  <w:style w:type="paragraph" w:styleId="IntenseQuote">
    <w:name w:val="Intense Quote"/>
    <w:basedOn w:val="Normal"/>
    <w:next w:val="Normal"/>
    <w:link w:val="IntenseQuoteChar"/>
    <w:uiPriority w:val="30"/>
    <w:qFormat/>
    <w:rsid w:val="003A0C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C1A"/>
    <w:rPr>
      <w:i/>
      <w:iCs/>
      <w:color w:val="0F4761" w:themeColor="accent1" w:themeShade="BF"/>
    </w:rPr>
  </w:style>
  <w:style w:type="character" w:styleId="IntenseReference">
    <w:name w:val="Intense Reference"/>
    <w:basedOn w:val="DefaultParagraphFont"/>
    <w:uiPriority w:val="32"/>
    <w:qFormat/>
    <w:rsid w:val="003A0C1A"/>
    <w:rPr>
      <w:b/>
      <w:bCs/>
      <w:smallCaps/>
      <w:color w:val="0F4761" w:themeColor="accent1" w:themeShade="BF"/>
      <w:spacing w:val="5"/>
    </w:rPr>
  </w:style>
  <w:style w:type="character" w:styleId="Hyperlink">
    <w:name w:val="Hyperlink"/>
    <w:basedOn w:val="DefaultParagraphFont"/>
    <w:uiPriority w:val="99"/>
    <w:unhideWhenUsed/>
    <w:rsid w:val="003A0C1A"/>
    <w:rPr>
      <w:color w:val="467886" w:themeColor="hyperlink"/>
      <w:u w:val="single"/>
    </w:rPr>
  </w:style>
  <w:style w:type="character" w:styleId="UnresolvedMention">
    <w:name w:val="Unresolved Mention"/>
    <w:basedOn w:val="DefaultParagraphFont"/>
    <w:uiPriority w:val="99"/>
    <w:semiHidden/>
    <w:unhideWhenUsed/>
    <w:rsid w:val="003A0C1A"/>
    <w:rPr>
      <w:color w:val="605E5C"/>
      <w:shd w:val="clear" w:color="auto" w:fill="E1DFDD"/>
    </w:rPr>
  </w:style>
  <w:style w:type="paragraph" w:styleId="Revision">
    <w:name w:val="Revision"/>
    <w:hidden/>
    <w:uiPriority w:val="99"/>
    <w:semiHidden/>
    <w:rsid w:val="0065543F"/>
    <w:pPr>
      <w:spacing w:after="0" w:line="240" w:lineRule="auto"/>
    </w:pPr>
  </w:style>
  <w:style w:type="character" w:styleId="CommentReference">
    <w:name w:val="annotation reference"/>
    <w:basedOn w:val="DefaultParagraphFont"/>
    <w:uiPriority w:val="99"/>
    <w:semiHidden/>
    <w:unhideWhenUsed/>
    <w:rsid w:val="001137D0"/>
    <w:rPr>
      <w:sz w:val="16"/>
      <w:szCs w:val="16"/>
    </w:rPr>
  </w:style>
  <w:style w:type="paragraph" w:styleId="CommentText">
    <w:name w:val="annotation text"/>
    <w:basedOn w:val="Normal"/>
    <w:link w:val="CommentTextChar"/>
    <w:uiPriority w:val="99"/>
    <w:unhideWhenUsed/>
    <w:rsid w:val="001137D0"/>
    <w:pPr>
      <w:spacing w:line="240" w:lineRule="auto"/>
    </w:pPr>
    <w:rPr>
      <w:sz w:val="20"/>
      <w:szCs w:val="20"/>
    </w:rPr>
  </w:style>
  <w:style w:type="character" w:customStyle="1" w:styleId="CommentTextChar">
    <w:name w:val="Comment Text Char"/>
    <w:basedOn w:val="DefaultParagraphFont"/>
    <w:link w:val="CommentText"/>
    <w:uiPriority w:val="99"/>
    <w:rsid w:val="001137D0"/>
    <w:rPr>
      <w:sz w:val="20"/>
      <w:szCs w:val="20"/>
    </w:rPr>
  </w:style>
  <w:style w:type="paragraph" w:styleId="CommentSubject">
    <w:name w:val="annotation subject"/>
    <w:basedOn w:val="CommentText"/>
    <w:next w:val="CommentText"/>
    <w:link w:val="CommentSubjectChar"/>
    <w:uiPriority w:val="99"/>
    <w:semiHidden/>
    <w:unhideWhenUsed/>
    <w:rsid w:val="001137D0"/>
    <w:rPr>
      <w:b/>
      <w:bCs/>
    </w:rPr>
  </w:style>
  <w:style w:type="character" w:customStyle="1" w:styleId="CommentSubjectChar">
    <w:name w:val="Comment Subject Char"/>
    <w:basedOn w:val="CommentTextChar"/>
    <w:link w:val="CommentSubject"/>
    <w:uiPriority w:val="99"/>
    <w:semiHidden/>
    <w:rsid w:val="001137D0"/>
    <w:rPr>
      <w:b/>
      <w:bCs/>
      <w:sz w:val="20"/>
      <w:szCs w:val="20"/>
    </w:rPr>
  </w:style>
  <w:style w:type="character" w:styleId="FollowedHyperlink">
    <w:name w:val="FollowedHyperlink"/>
    <w:basedOn w:val="DefaultParagraphFont"/>
    <w:uiPriority w:val="99"/>
    <w:semiHidden/>
    <w:unhideWhenUsed/>
    <w:rsid w:val="004E233F"/>
    <w:rPr>
      <w:color w:val="96607D" w:themeColor="followedHyperlink"/>
      <w:u w:val="single"/>
    </w:rPr>
  </w:style>
  <w:style w:type="paragraph" w:styleId="Header">
    <w:name w:val="header"/>
    <w:basedOn w:val="Normal"/>
    <w:link w:val="HeaderChar"/>
    <w:uiPriority w:val="99"/>
    <w:unhideWhenUsed/>
    <w:rsid w:val="00456FC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56FCB"/>
  </w:style>
  <w:style w:type="paragraph" w:styleId="Footer">
    <w:name w:val="footer"/>
    <w:basedOn w:val="Normal"/>
    <w:link w:val="FooterChar"/>
    <w:uiPriority w:val="99"/>
    <w:unhideWhenUsed/>
    <w:rsid w:val="00456FC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56FCB"/>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971069">
      <w:bodyDiv w:val="1"/>
      <w:marLeft w:val="0"/>
      <w:marRight w:val="0"/>
      <w:marTop w:val="0"/>
      <w:marBottom w:val="0"/>
      <w:divBdr>
        <w:top w:val="none" w:sz="0" w:space="0" w:color="auto"/>
        <w:left w:val="none" w:sz="0" w:space="0" w:color="auto"/>
        <w:bottom w:val="none" w:sz="0" w:space="0" w:color="auto"/>
        <w:right w:val="none" w:sz="0" w:space="0" w:color="auto"/>
      </w:divBdr>
      <w:divsChild>
        <w:div w:id="1351763729">
          <w:marLeft w:val="0"/>
          <w:marRight w:val="0"/>
          <w:marTop w:val="0"/>
          <w:marBottom w:val="0"/>
          <w:divBdr>
            <w:top w:val="none" w:sz="0" w:space="0" w:color="auto"/>
            <w:left w:val="none" w:sz="0" w:space="0" w:color="auto"/>
            <w:bottom w:val="none" w:sz="0" w:space="0" w:color="auto"/>
            <w:right w:val="none" w:sz="0" w:space="0" w:color="auto"/>
          </w:divBdr>
        </w:div>
        <w:div w:id="1762945137">
          <w:marLeft w:val="0"/>
          <w:marRight w:val="0"/>
          <w:marTop w:val="0"/>
          <w:marBottom w:val="0"/>
          <w:divBdr>
            <w:top w:val="none" w:sz="0" w:space="0" w:color="auto"/>
            <w:left w:val="none" w:sz="0" w:space="0" w:color="auto"/>
            <w:bottom w:val="none" w:sz="0" w:space="0" w:color="auto"/>
            <w:right w:val="none" w:sz="0" w:space="0" w:color="auto"/>
          </w:divBdr>
        </w:div>
        <w:div w:id="1566338760">
          <w:marLeft w:val="0"/>
          <w:marRight w:val="0"/>
          <w:marTop w:val="0"/>
          <w:marBottom w:val="0"/>
          <w:divBdr>
            <w:top w:val="none" w:sz="0" w:space="0" w:color="auto"/>
            <w:left w:val="none" w:sz="0" w:space="0" w:color="auto"/>
            <w:bottom w:val="none" w:sz="0" w:space="0" w:color="auto"/>
            <w:right w:val="none" w:sz="0" w:space="0" w:color="auto"/>
          </w:divBdr>
        </w:div>
      </w:divsChild>
    </w:div>
    <w:div w:id="1285578323">
      <w:bodyDiv w:val="1"/>
      <w:marLeft w:val="0"/>
      <w:marRight w:val="0"/>
      <w:marTop w:val="0"/>
      <w:marBottom w:val="0"/>
      <w:divBdr>
        <w:top w:val="none" w:sz="0" w:space="0" w:color="auto"/>
        <w:left w:val="none" w:sz="0" w:space="0" w:color="auto"/>
        <w:bottom w:val="none" w:sz="0" w:space="0" w:color="auto"/>
        <w:right w:val="none" w:sz="0" w:space="0" w:color="auto"/>
      </w:divBdr>
      <w:divsChild>
        <w:div w:id="1440833537">
          <w:marLeft w:val="0"/>
          <w:marRight w:val="0"/>
          <w:marTop w:val="0"/>
          <w:marBottom w:val="0"/>
          <w:divBdr>
            <w:top w:val="none" w:sz="0" w:space="0" w:color="auto"/>
            <w:left w:val="none" w:sz="0" w:space="0" w:color="auto"/>
            <w:bottom w:val="none" w:sz="0" w:space="0" w:color="auto"/>
            <w:right w:val="none" w:sz="0" w:space="0" w:color="auto"/>
          </w:divBdr>
          <w:divsChild>
            <w:div w:id="1490294394">
              <w:marLeft w:val="0"/>
              <w:marRight w:val="0"/>
              <w:marTop w:val="0"/>
              <w:marBottom w:val="0"/>
              <w:divBdr>
                <w:top w:val="none" w:sz="0" w:space="0" w:color="auto"/>
                <w:left w:val="none" w:sz="0" w:space="0" w:color="auto"/>
                <w:bottom w:val="none" w:sz="0" w:space="0" w:color="auto"/>
                <w:right w:val="none" w:sz="0" w:space="0" w:color="auto"/>
              </w:divBdr>
              <w:divsChild>
                <w:div w:id="1172835816">
                  <w:marLeft w:val="0"/>
                  <w:marRight w:val="0"/>
                  <w:marTop w:val="0"/>
                  <w:marBottom w:val="0"/>
                  <w:divBdr>
                    <w:top w:val="none" w:sz="0" w:space="0" w:color="auto"/>
                    <w:left w:val="none" w:sz="0" w:space="0" w:color="auto"/>
                    <w:bottom w:val="none" w:sz="0" w:space="0" w:color="auto"/>
                    <w:right w:val="none" w:sz="0" w:space="0" w:color="auto"/>
                  </w:divBdr>
                  <w:divsChild>
                    <w:div w:id="911548703">
                      <w:marLeft w:val="0"/>
                      <w:marRight w:val="0"/>
                      <w:marTop w:val="0"/>
                      <w:marBottom w:val="0"/>
                      <w:divBdr>
                        <w:top w:val="none" w:sz="0" w:space="0" w:color="auto"/>
                        <w:left w:val="none" w:sz="0" w:space="0" w:color="auto"/>
                        <w:bottom w:val="none" w:sz="0" w:space="0" w:color="auto"/>
                        <w:right w:val="none" w:sz="0" w:space="0" w:color="auto"/>
                      </w:divBdr>
                      <w:divsChild>
                        <w:div w:id="1483960158">
                          <w:marLeft w:val="0"/>
                          <w:marRight w:val="0"/>
                          <w:marTop w:val="0"/>
                          <w:marBottom w:val="0"/>
                          <w:divBdr>
                            <w:top w:val="none" w:sz="0" w:space="0" w:color="auto"/>
                            <w:left w:val="none" w:sz="0" w:space="0" w:color="auto"/>
                            <w:bottom w:val="none" w:sz="0" w:space="0" w:color="auto"/>
                            <w:right w:val="none" w:sz="0" w:space="0" w:color="auto"/>
                          </w:divBdr>
                          <w:divsChild>
                            <w:div w:id="1472015905">
                              <w:marLeft w:val="150"/>
                              <w:marRight w:val="150"/>
                              <w:marTop w:val="480"/>
                              <w:marBottom w:val="0"/>
                              <w:divBdr>
                                <w:top w:val="none" w:sz="0" w:space="0" w:color="auto"/>
                                <w:left w:val="none" w:sz="0" w:space="0" w:color="auto"/>
                                <w:bottom w:val="none" w:sz="0" w:space="0" w:color="auto"/>
                                <w:right w:val="none" w:sz="0" w:space="0" w:color="auto"/>
                              </w:divBdr>
                            </w:div>
                            <w:div w:id="1477065234">
                              <w:marLeft w:val="0"/>
                              <w:marRight w:val="0"/>
                              <w:marTop w:val="240"/>
                              <w:marBottom w:val="0"/>
                              <w:divBdr>
                                <w:top w:val="none" w:sz="0" w:space="0" w:color="auto"/>
                                <w:left w:val="none" w:sz="0" w:space="0" w:color="auto"/>
                                <w:bottom w:val="none" w:sz="0" w:space="0" w:color="auto"/>
                                <w:right w:val="none" w:sz="0" w:space="0" w:color="auto"/>
                              </w:divBdr>
                              <w:divsChild>
                                <w:div w:id="293751555">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733235061">
                          <w:marLeft w:val="0"/>
                          <w:marRight w:val="0"/>
                          <w:marTop w:val="0"/>
                          <w:marBottom w:val="0"/>
                          <w:divBdr>
                            <w:top w:val="none" w:sz="0" w:space="0" w:color="auto"/>
                            <w:left w:val="none" w:sz="0" w:space="0" w:color="auto"/>
                            <w:bottom w:val="none" w:sz="0" w:space="0" w:color="auto"/>
                            <w:right w:val="none" w:sz="0" w:space="0" w:color="auto"/>
                          </w:divBdr>
                          <w:divsChild>
                            <w:div w:id="403995312">
                              <w:marLeft w:val="0"/>
                              <w:marRight w:val="0"/>
                              <w:marTop w:val="0"/>
                              <w:marBottom w:val="0"/>
                              <w:divBdr>
                                <w:top w:val="none" w:sz="0" w:space="0" w:color="auto"/>
                                <w:left w:val="none" w:sz="0" w:space="0" w:color="auto"/>
                                <w:bottom w:val="none" w:sz="0" w:space="0" w:color="auto"/>
                                <w:right w:val="none" w:sz="0" w:space="0" w:color="auto"/>
                              </w:divBdr>
                            </w:div>
                            <w:div w:id="1424574175">
                              <w:marLeft w:val="0"/>
                              <w:marRight w:val="0"/>
                              <w:marTop w:val="0"/>
                              <w:marBottom w:val="0"/>
                              <w:divBdr>
                                <w:top w:val="none" w:sz="0" w:space="0" w:color="auto"/>
                                <w:left w:val="none" w:sz="0" w:space="0" w:color="auto"/>
                                <w:bottom w:val="none" w:sz="0" w:space="0" w:color="auto"/>
                                <w:right w:val="none" w:sz="0" w:space="0" w:color="auto"/>
                              </w:divBdr>
                            </w:div>
                          </w:divsChild>
                        </w:div>
                        <w:div w:id="876817166">
                          <w:marLeft w:val="0"/>
                          <w:marRight w:val="0"/>
                          <w:marTop w:val="300"/>
                          <w:marBottom w:val="0"/>
                          <w:divBdr>
                            <w:top w:val="none" w:sz="0" w:space="0" w:color="auto"/>
                            <w:left w:val="none" w:sz="0" w:space="0" w:color="auto"/>
                            <w:bottom w:val="none" w:sz="0" w:space="0" w:color="auto"/>
                            <w:right w:val="none" w:sz="0" w:space="0" w:color="auto"/>
                          </w:divBdr>
                          <w:divsChild>
                            <w:div w:id="863206703">
                              <w:marLeft w:val="0"/>
                              <w:marRight w:val="0"/>
                              <w:marTop w:val="0"/>
                              <w:marBottom w:val="0"/>
                              <w:divBdr>
                                <w:top w:val="none" w:sz="0" w:space="0" w:color="auto"/>
                                <w:left w:val="none" w:sz="0" w:space="0" w:color="auto"/>
                                <w:bottom w:val="none" w:sz="0" w:space="0" w:color="auto"/>
                                <w:right w:val="none" w:sz="0" w:space="0" w:color="auto"/>
                              </w:divBdr>
                            </w:div>
                          </w:divsChild>
                        </w:div>
                        <w:div w:id="1204757902">
                          <w:marLeft w:val="0"/>
                          <w:marRight w:val="0"/>
                          <w:marTop w:val="300"/>
                          <w:marBottom w:val="0"/>
                          <w:divBdr>
                            <w:top w:val="none" w:sz="0" w:space="0" w:color="auto"/>
                            <w:left w:val="none" w:sz="0" w:space="0" w:color="auto"/>
                            <w:bottom w:val="none" w:sz="0" w:space="0" w:color="auto"/>
                            <w:right w:val="none" w:sz="0" w:space="0" w:color="auto"/>
                          </w:divBdr>
                          <w:divsChild>
                            <w:div w:id="1514690310">
                              <w:marLeft w:val="0"/>
                              <w:marRight w:val="0"/>
                              <w:marTop w:val="0"/>
                              <w:marBottom w:val="0"/>
                              <w:divBdr>
                                <w:top w:val="none" w:sz="0" w:space="0" w:color="auto"/>
                                <w:left w:val="none" w:sz="0" w:space="0" w:color="auto"/>
                                <w:bottom w:val="none" w:sz="0" w:space="0" w:color="auto"/>
                                <w:right w:val="none" w:sz="0" w:space="0" w:color="auto"/>
                              </w:divBdr>
                            </w:div>
                            <w:div w:id="166326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9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78880">
          <w:marLeft w:val="0"/>
          <w:marRight w:val="0"/>
          <w:marTop w:val="0"/>
          <w:marBottom w:val="0"/>
          <w:divBdr>
            <w:top w:val="none" w:sz="0" w:space="0" w:color="auto"/>
            <w:left w:val="none" w:sz="0" w:space="0" w:color="auto"/>
            <w:bottom w:val="none" w:sz="0" w:space="0" w:color="auto"/>
            <w:right w:val="none" w:sz="0" w:space="0" w:color="auto"/>
          </w:divBdr>
        </w:div>
      </w:divsChild>
    </w:div>
    <w:div w:id="1753041701">
      <w:bodyDiv w:val="1"/>
      <w:marLeft w:val="0"/>
      <w:marRight w:val="0"/>
      <w:marTop w:val="0"/>
      <w:marBottom w:val="0"/>
      <w:divBdr>
        <w:top w:val="none" w:sz="0" w:space="0" w:color="auto"/>
        <w:left w:val="none" w:sz="0" w:space="0" w:color="auto"/>
        <w:bottom w:val="none" w:sz="0" w:space="0" w:color="auto"/>
        <w:right w:val="none" w:sz="0" w:space="0" w:color="auto"/>
      </w:divBdr>
      <w:divsChild>
        <w:div w:id="38405879">
          <w:marLeft w:val="0"/>
          <w:marRight w:val="0"/>
          <w:marTop w:val="0"/>
          <w:marBottom w:val="0"/>
          <w:divBdr>
            <w:top w:val="none" w:sz="0" w:space="0" w:color="auto"/>
            <w:left w:val="none" w:sz="0" w:space="0" w:color="auto"/>
            <w:bottom w:val="none" w:sz="0" w:space="0" w:color="auto"/>
            <w:right w:val="none" w:sz="0" w:space="0" w:color="auto"/>
          </w:divBdr>
        </w:div>
        <w:div w:id="802188772">
          <w:marLeft w:val="0"/>
          <w:marRight w:val="0"/>
          <w:marTop w:val="0"/>
          <w:marBottom w:val="0"/>
          <w:divBdr>
            <w:top w:val="none" w:sz="0" w:space="0" w:color="auto"/>
            <w:left w:val="none" w:sz="0" w:space="0" w:color="auto"/>
            <w:bottom w:val="none" w:sz="0" w:space="0" w:color="auto"/>
            <w:right w:val="none" w:sz="0" w:space="0" w:color="auto"/>
          </w:divBdr>
        </w:div>
        <w:div w:id="1525249939">
          <w:marLeft w:val="0"/>
          <w:marRight w:val="0"/>
          <w:marTop w:val="0"/>
          <w:marBottom w:val="0"/>
          <w:divBdr>
            <w:top w:val="none" w:sz="0" w:space="0" w:color="auto"/>
            <w:left w:val="none" w:sz="0" w:space="0" w:color="auto"/>
            <w:bottom w:val="none" w:sz="0" w:space="0" w:color="auto"/>
            <w:right w:val="none" w:sz="0" w:space="0" w:color="auto"/>
          </w:divBdr>
        </w:div>
      </w:divsChild>
    </w:div>
    <w:div w:id="1901205007">
      <w:bodyDiv w:val="1"/>
      <w:marLeft w:val="0"/>
      <w:marRight w:val="0"/>
      <w:marTop w:val="0"/>
      <w:marBottom w:val="0"/>
      <w:divBdr>
        <w:top w:val="none" w:sz="0" w:space="0" w:color="auto"/>
        <w:left w:val="none" w:sz="0" w:space="0" w:color="auto"/>
        <w:bottom w:val="none" w:sz="0" w:space="0" w:color="auto"/>
        <w:right w:val="none" w:sz="0" w:space="0" w:color="auto"/>
      </w:divBdr>
      <w:divsChild>
        <w:div w:id="619459055">
          <w:marLeft w:val="0"/>
          <w:marRight w:val="0"/>
          <w:marTop w:val="0"/>
          <w:marBottom w:val="0"/>
          <w:divBdr>
            <w:top w:val="none" w:sz="0" w:space="0" w:color="auto"/>
            <w:left w:val="none" w:sz="0" w:space="0" w:color="auto"/>
            <w:bottom w:val="none" w:sz="0" w:space="0" w:color="auto"/>
            <w:right w:val="none" w:sz="0" w:space="0" w:color="auto"/>
          </w:divBdr>
          <w:divsChild>
            <w:div w:id="1833987267">
              <w:marLeft w:val="0"/>
              <w:marRight w:val="0"/>
              <w:marTop w:val="0"/>
              <w:marBottom w:val="0"/>
              <w:divBdr>
                <w:top w:val="none" w:sz="0" w:space="0" w:color="auto"/>
                <w:left w:val="none" w:sz="0" w:space="0" w:color="auto"/>
                <w:bottom w:val="none" w:sz="0" w:space="0" w:color="auto"/>
                <w:right w:val="none" w:sz="0" w:space="0" w:color="auto"/>
              </w:divBdr>
              <w:divsChild>
                <w:div w:id="767892994">
                  <w:marLeft w:val="0"/>
                  <w:marRight w:val="0"/>
                  <w:marTop w:val="0"/>
                  <w:marBottom w:val="0"/>
                  <w:divBdr>
                    <w:top w:val="none" w:sz="0" w:space="0" w:color="auto"/>
                    <w:left w:val="none" w:sz="0" w:space="0" w:color="auto"/>
                    <w:bottom w:val="none" w:sz="0" w:space="0" w:color="auto"/>
                    <w:right w:val="none" w:sz="0" w:space="0" w:color="auto"/>
                  </w:divBdr>
                  <w:divsChild>
                    <w:div w:id="49499766">
                      <w:marLeft w:val="0"/>
                      <w:marRight w:val="0"/>
                      <w:marTop w:val="0"/>
                      <w:marBottom w:val="0"/>
                      <w:divBdr>
                        <w:top w:val="none" w:sz="0" w:space="0" w:color="auto"/>
                        <w:left w:val="none" w:sz="0" w:space="0" w:color="auto"/>
                        <w:bottom w:val="none" w:sz="0" w:space="0" w:color="auto"/>
                        <w:right w:val="none" w:sz="0" w:space="0" w:color="auto"/>
                      </w:divBdr>
                      <w:divsChild>
                        <w:div w:id="1798795779">
                          <w:marLeft w:val="0"/>
                          <w:marRight w:val="0"/>
                          <w:marTop w:val="0"/>
                          <w:marBottom w:val="0"/>
                          <w:divBdr>
                            <w:top w:val="none" w:sz="0" w:space="0" w:color="auto"/>
                            <w:left w:val="none" w:sz="0" w:space="0" w:color="auto"/>
                            <w:bottom w:val="none" w:sz="0" w:space="0" w:color="auto"/>
                            <w:right w:val="none" w:sz="0" w:space="0" w:color="auto"/>
                          </w:divBdr>
                          <w:divsChild>
                            <w:div w:id="1406688486">
                              <w:marLeft w:val="150"/>
                              <w:marRight w:val="150"/>
                              <w:marTop w:val="480"/>
                              <w:marBottom w:val="0"/>
                              <w:divBdr>
                                <w:top w:val="none" w:sz="0" w:space="0" w:color="auto"/>
                                <w:left w:val="none" w:sz="0" w:space="0" w:color="auto"/>
                                <w:bottom w:val="none" w:sz="0" w:space="0" w:color="auto"/>
                                <w:right w:val="none" w:sz="0" w:space="0" w:color="auto"/>
                              </w:divBdr>
                            </w:div>
                            <w:div w:id="1337879736">
                              <w:marLeft w:val="0"/>
                              <w:marRight w:val="0"/>
                              <w:marTop w:val="240"/>
                              <w:marBottom w:val="0"/>
                              <w:divBdr>
                                <w:top w:val="none" w:sz="0" w:space="0" w:color="auto"/>
                                <w:left w:val="none" w:sz="0" w:space="0" w:color="auto"/>
                                <w:bottom w:val="none" w:sz="0" w:space="0" w:color="auto"/>
                                <w:right w:val="none" w:sz="0" w:space="0" w:color="auto"/>
                              </w:divBdr>
                              <w:divsChild>
                                <w:div w:id="1792936712">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927306822">
                          <w:marLeft w:val="0"/>
                          <w:marRight w:val="0"/>
                          <w:marTop w:val="0"/>
                          <w:marBottom w:val="0"/>
                          <w:divBdr>
                            <w:top w:val="none" w:sz="0" w:space="0" w:color="auto"/>
                            <w:left w:val="none" w:sz="0" w:space="0" w:color="auto"/>
                            <w:bottom w:val="none" w:sz="0" w:space="0" w:color="auto"/>
                            <w:right w:val="none" w:sz="0" w:space="0" w:color="auto"/>
                          </w:divBdr>
                          <w:divsChild>
                            <w:div w:id="2091614006">
                              <w:marLeft w:val="0"/>
                              <w:marRight w:val="0"/>
                              <w:marTop w:val="0"/>
                              <w:marBottom w:val="0"/>
                              <w:divBdr>
                                <w:top w:val="none" w:sz="0" w:space="0" w:color="auto"/>
                                <w:left w:val="none" w:sz="0" w:space="0" w:color="auto"/>
                                <w:bottom w:val="none" w:sz="0" w:space="0" w:color="auto"/>
                                <w:right w:val="none" w:sz="0" w:space="0" w:color="auto"/>
                              </w:divBdr>
                            </w:div>
                            <w:div w:id="1542324901">
                              <w:marLeft w:val="0"/>
                              <w:marRight w:val="0"/>
                              <w:marTop w:val="0"/>
                              <w:marBottom w:val="0"/>
                              <w:divBdr>
                                <w:top w:val="none" w:sz="0" w:space="0" w:color="auto"/>
                                <w:left w:val="none" w:sz="0" w:space="0" w:color="auto"/>
                                <w:bottom w:val="none" w:sz="0" w:space="0" w:color="auto"/>
                                <w:right w:val="none" w:sz="0" w:space="0" w:color="auto"/>
                              </w:divBdr>
                            </w:div>
                          </w:divsChild>
                        </w:div>
                        <w:div w:id="1382291706">
                          <w:marLeft w:val="0"/>
                          <w:marRight w:val="0"/>
                          <w:marTop w:val="300"/>
                          <w:marBottom w:val="0"/>
                          <w:divBdr>
                            <w:top w:val="none" w:sz="0" w:space="0" w:color="auto"/>
                            <w:left w:val="none" w:sz="0" w:space="0" w:color="auto"/>
                            <w:bottom w:val="none" w:sz="0" w:space="0" w:color="auto"/>
                            <w:right w:val="none" w:sz="0" w:space="0" w:color="auto"/>
                          </w:divBdr>
                          <w:divsChild>
                            <w:div w:id="1511331900">
                              <w:marLeft w:val="0"/>
                              <w:marRight w:val="0"/>
                              <w:marTop w:val="0"/>
                              <w:marBottom w:val="0"/>
                              <w:divBdr>
                                <w:top w:val="none" w:sz="0" w:space="0" w:color="auto"/>
                                <w:left w:val="none" w:sz="0" w:space="0" w:color="auto"/>
                                <w:bottom w:val="none" w:sz="0" w:space="0" w:color="auto"/>
                                <w:right w:val="none" w:sz="0" w:space="0" w:color="auto"/>
                              </w:divBdr>
                            </w:div>
                          </w:divsChild>
                        </w:div>
                        <w:div w:id="962421153">
                          <w:marLeft w:val="0"/>
                          <w:marRight w:val="0"/>
                          <w:marTop w:val="300"/>
                          <w:marBottom w:val="0"/>
                          <w:divBdr>
                            <w:top w:val="none" w:sz="0" w:space="0" w:color="auto"/>
                            <w:left w:val="none" w:sz="0" w:space="0" w:color="auto"/>
                            <w:bottom w:val="none" w:sz="0" w:space="0" w:color="auto"/>
                            <w:right w:val="none" w:sz="0" w:space="0" w:color="auto"/>
                          </w:divBdr>
                          <w:divsChild>
                            <w:div w:id="1299409930">
                              <w:marLeft w:val="0"/>
                              <w:marRight w:val="0"/>
                              <w:marTop w:val="0"/>
                              <w:marBottom w:val="0"/>
                              <w:divBdr>
                                <w:top w:val="none" w:sz="0" w:space="0" w:color="auto"/>
                                <w:left w:val="none" w:sz="0" w:space="0" w:color="auto"/>
                                <w:bottom w:val="none" w:sz="0" w:space="0" w:color="auto"/>
                                <w:right w:val="none" w:sz="0" w:space="0" w:color="auto"/>
                              </w:divBdr>
                            </w:div>
                            <w:div w:id="1666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2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31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40958" TargetMode="External"/><Relationship Id="rId18" Type="http://schemas.openxmlformats.org/officeDocument/2006/relationships/hyperlink" Target="https://www.esfondi.lv/normativie-akti-un-dokumenti/2021-2027-planosanas-periods/vienas-vienibas-izmaksu-standarta-likmes-aprekina-un-piemerosanas-metodika-1-km-izmaksam-darbibas-programmas-izaugsme-un-nodarbinatiba-un-eiropas-savienibas-kohezijas-politikas-programmas-2021-2027-gadam-istenosana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likumi.lv/ta/id/337734-eiropas-savienibas-atveselosanas-un-noturibas-mehanisma-plana-4-1-1-r-reformas-uz-cilveku-centretas-visaptverosas-integretas-ve..." TargetMode="External"/><Relationship Id="rId17" Type="http://schemas.openxmlformats.org/officeDocument/2006/relationships/hyperlink" Target="https://www.esfondi.lv/normativie-akti-un-dokumenti/2021-2027-planosanas-periods/vienas-vienibas-izmaksu-standarta-likmes-aprekina-un-piemerosanas-metodika-1-km-izmaksam-darbibas-programmas-izaugsme-un-nodarbinatiba-un-eiropas-savienibas-kohezijas-politikas-programmas-2021-2027-gadam-istenosanai" TargetMode="External"/><Relationship Id="rId2" Type="http://schemas.openxmlformats.org/officeDocument/2006/relationships/customXml" Target="../customXml/item2.xml"/><Relationship Id="rId16" Type="http://schemas.openxmlformats.org/officeDocument/2006/relationships/hyperlink" Target="https://likumi.lv/ta/id/325798-valsts-informacijas-sistemu-attistibas-projektu-uzraudzibas-kartib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ikumi.lv/ta/id/325798-valsts-informacijas-sistemu-attistibas-projektu-uzraudzibas-kartib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4095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6FDC99581D9D4E42986A4CFB21B7EB66" ma:contentTypeVersion="13" ma:contentTypeDescription="Izveidot jaunu dokumentu." ma:contentTypeScope="" ma:versionID="c326e561824466aff4212aa2ac7f3c25">
  <xsd:schema xmlns:xsd="http://www.w3.org/2001/XMLSchema" xmlns:xs="http://www.w3.org/2001/XMLSchema" xmlns:p="http://schemas.microsoft.com/office/2006/metadata/properties" xmlns:ns3="0ef2410d-0d5a-4dc4-9097-5e4c353dfcb7" xmlns:ns4="5b778132-3b9e-41df-ac7c-592720af6797" targetNamespace="http://schemas.microsoft.com/office/2006/metadata/properties" ma:root="true" ma:fieldsID="f36186421b32a897c0a073de0450c355" ns3:_="" ns4:_="">
    <xsd:import namespace="0ef2410d-0d5a-4dc4-9097-5e4c353dfcb7"/>
    <xsd:import namespace="5b778132-3b9e-41df-ac7c-592720af679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2410d-0d5a-4dc4-9097-5e4c353df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778132-3b9e-41df-ac7c-592720af6797" elementFormDefault="qualified">
    <xsd:import namespace="http://schemas.microsoft.com/office/2006/documentManagement/types"/>
    <xsd:import namespace="http://schemas.microsoft.com/office/infopath/2007/PartnerControls"/>
    <xsd:element name="SharedWithUsers" ma:index="17"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Koplietots ar: detalizēti" ma:internalName="SharedWithDetails" ma:readOnly="true">
      <xsd:simpleType>
        <xsd:restriction base="dms:Note">
          <xsd:maxLength value="255"/>
        </xsd:restriction>
      </xsd:simpleType>
    </xsd:element>
    <xsd:element name="SharingHintHash" ma:index="19"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ef2410d-0d5a-4dc4-9097-5e4c353dfc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5E79B-FED6-42B0-A766-C160C8561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f2410d-0d5a-4dc4-9097-5e4c353dfcb7"/>
    <ds:schemaRef ds:uri="5b778132-3b9e-41df-ac7c-592720af67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2378D-06CC-4815-918F-834810F1EC32}">
  <ds:schemaRefs>
    <ds:schemaRef ds:uri="http://schemas.openxmlformats.org/officeDocument/2006/bibliography"/>
  </ds:schemaRefs>
</ds:datastoreItem>
</file>

<file path=customXml/itemProps3.xml><?xml version="1.0" encoding="utf-8"?>
<ds:datastoreItem xmlns:ds="http://schemas.openxmlformats.org/officeDocument/2006/customXml" ds:itemID="{0414EF9E-871F-4773-A3E4-045A893424BA}">
  <ds:schemaRefs>
    <ds:schemaRef ds:uri="http://schemas.microsoft.com/office/2006/metadata/properties"/>
    <ds:schemaRef ds:uri="http://schemas.microsoft.com/office/infopath/2007/PartnerControls"/>
    <ds:schemaRef ds:uri="0ef2410d-0d5a-4dc4-9097-5e4c353dfcb7"/>
  </ds:schemaRefs>
</ds:datastoreItem>
</file>

<file path=customXml/itemProps4.xml><?xml version="1.0" encoding="utf-8"?>
<ds:datastoreItem xmlns:ds="http://schemas.openxmlformats.org/officeDocument/2006/customXml" ds:itemID="{DEC04593-B8DC-41C1-B3F5-DE140294B0A3}">
  <ds:schemaRefs>
    <ds:schemaRef ds:uri="http://schemas.microsoft.com/sharepoint/v3/contenttype/forms"/>
  </ds:schemaRefs>
</ds:datastoreItem>
</file>

<file path=docMetadata/LabelInfo.xml><?xml version="1.0" encoding="utf-8"?>
<clbl:labelList xmlns:clbl="http://schemas.microsoft.com/office/2020/mipLabelMetadata">
  <clbl:label id="{dbc9012d-628b-43d4-b190-8a730f7e1e96}" enabled="0" method="" siteId="{dbc9012d-628b-43d4-b190-8a730f7e1e9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18108</Words>
  <Characters>10323</Characters>
  <Application>Microsoft Office Word</Application>
  <DocSecurity>0</DocSecurity>
  <Lines>86</Lines>
  <Paragraphs>56</Paragraphs>
  <ScaleCrop>false</ScaleCrop>
  <Company/>
  <LinksUpToDate>false</LinksUpToDate>
  <CharactersWithSpaces>28375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Lagzdiņa</dc:creator>
  <cp:keywords/>
  <dc:description/>
  <cp:lastModifiedBy>Aija Surna</cp:lastModifiedBy>
  <cp:revision>3</cp:revision>
  <dcterms:created xsi:type="dcterms:W3CDTF">2025-07-03T07:59:00Z</dcterms:created>
  <dcterms:modified xsi:type="dcterms:W3CDTF">2025-07-03T07:59:00Z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0x0101006FDC99581D9D4E42986A4CFB21B7EB66</vt:lpwstr>
  </property>
</Properties>
</file>