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Uzņēmumu ienākuma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2017, 156. nr.; 2018, 249. nr.; 2019, 62., 118. nr.; 2020, 29. nr.; 2021, 65.A, 193., 200. nr.; 2022, 69. nr.; 2023, 87.,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10.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panta pirmo daļu nepiemēro procentu maksājumiem par: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Latvijā un citā Eiropas Savienības dalībvalstī vai Eiropas Ekonomikas zonas valstī emitētajiem vērtspapīriem, kas iekļauti tirdzniecībai tirdzniecības vietā, Finanšu instrumentu tirgus likuma izpratnē;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finansējumu, kas piesaistīts ar Latvijā un citā Eiropas Savienības dalībvalstī vai Eiropas Ekonomikas zonas valstī reģistrēta un darbības atļauju saņēmuša kolektīvās finansēšanas pakalpojumu sniedzēja starpniecību Kolektīvās finansēšanas pakalpojumu likuma izpratnē (izņemot finansējumu, kuru izsniegusi ar nodokļa maksātāju saistīta persona);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finansējumu, kas piesaistīts ar Latvijā un citā Eiropas Savienības dalībvalstī vai Eiropas Ekonomikas zonas valstī licencētas ieguldījumu brokeru sabiedrības starpniecību Ieguldījumu brokeru sabiedrību likuma izpratnē (izņemot finansējumu, kuru izsniegusi ar nodokļa maksātāju saistīta persona);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Latvijā un citā Eiropas Savienības dalībvalstī vai Eiropas Ekonomikas zonas valstī reģistrētas vērtspapīrošanas sabiedrības Vērtspapīrošanas likuma izpratnē emitētajiem vērtspapīriem;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aizņēmumu, kas saņemts no Latvijā un citā Eiropas Savienības dalībvalstī vai Eiropas Ekonomikas zonas valstī reģistrēta un pārvaldīta alternatīvā ieguldījumu fonda Alternatīvo ieguldījumu fondu un to pārvaldnieku likuma izpratnē (izņemot slēgtā alternatīvā fonda, ja tā dalībnieks ir ar nodokļa maksātāju saistīta persona).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Šā panta pirmo daļu nepiemēro mērķsabiedrībām, kuras izveidotas saskaņā ar Publiskās un privātās partnerības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 Grozījumi šā likuma 10.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piemērojami sākot ar pārskata gadu, kas sākas 2026. gadā”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25-TA-700</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25-TA-700</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likumprojekts_(grozījumi)_25-TA-700.docx</dc:title>
</cp:coreProperties>
</file>

<file path=docProps/custom.xml><?xml version="1.0" encoding="utf-8"?>
<Properties xmlns="http://schemas.openxmlformats.org/officeDocument/2006/custom-properties" xmlns:vt="http://schemas.openxmlformats.org/officeDocument/2006/docPropsVTypes"/>
</file>