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Ludzā 2022. gada 23. augustā (prot. Nr. 41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2011. gada 5. jūlija noteikumos Nr. 523 "Kārtība, kādā aprēķina un sadala valsts budžeta mērķdotāciju pedagogu darba samaksai pašvaldību izglītības iestādēs, kurās īsteno profesionālās pamatizglītības, arodizglītības un profesionālās vidējās izglītības programmas"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7.panta 12.punktu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2011. gada 5. jūlija noteikumos Nr. 523 "Kārtība, kādā aprēķina un sadala valsts budžeta mērķdotāciju pedagogu darba samaksai pašvaldību izglītības iestādēs, kurās īsteno profesionālās pamatizglītības, arodizglītības un profesionālās vidējās izglītības programmas" (Latvijas Vēstnesis, 2011, 105. nr.; 2013, 188. nr.; 2014, 162. nr.; 2016, 140. nr.; 2017, 168. nr.; 2018, 163. nr.; 2021, 111.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22-TA-2307</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22-TA-2307</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noteikumu_(grozījumu)_projekts_22-TA-2307.docx</dc:title>
</cp:coreProperties>
</file>

<file path=docProps/custom.xml><?xml version="1.0" encoding="utf-8"?>
<Properties xmlns="http://schemas.openxmlformats.org/officeDocument/2006/custom-properties" xmlns:vt="http://schemas.openxmlformats.org/officeDocument/2006/docPropsVTypes"/>
</file>