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2.2.2. specifiskā atbalsta mērķa "Pārejas uz aprites ekonomiku veicināšana" 2.2.2.1. pasākuma "Atkritumu šķirošana, pārstrāde un reģenerācija" projektu iesniegumu atlases pirmās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2.2.2. specifiskā atbalsta mērķa "Pārejas uz aprites ekonomiku veicināšana" 2.2.2.1. pasākuma "Atkritumu šķirošana, pārstrāde un reģenerācija" (turpmāk – pasākums) projektu iesniegumu atlases pirmo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valsts atbalstu komercdarbībai (turpmāk – komercdarbības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pāreju uz aprites ekonomiku.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kārtas mērķis ir atbalstīt atkritumu pārstrādes iekārtu izveidi.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Komersants šo noteikumu izpratnē ir liels, vidējs vai mazs komersants. Mazs un vidējs komersants šo noteikumu izpratnē ir komersants, kas atbilst Eiropas Komisijas 2014. gada 17. jūnija Regulas (ES) Nr. 651/2014, </w:t>
      </w:r>
      <w:r w:rsidR="00000000" w:rsidRPr="00000000" w:rsidDel="00000000">
        <w:rPr>
          <w:i w:val="1"/>
          <w:rtl w:val="0"/>
        </w:rPr>
        <w:t xml:space="preserve">ar ko noteiktas atbalsta kategorijas atzīst par saderīgām ar iekšējo tirgu, piemērojot Līguma 107. un 108. pantu (turpmāk – regula Nr. 651/2014)</w:t>
      </w:r>
      <w:r w:rsidR="00000000" w:rsidRPr="00000000" w:rsidDel="00000000">
        <w:rPr>
          <w:rtl w:val="0"/>
        </w:rPr>
        <w:t xml:space="preserve">, I pielikumam. Liels komersants šo noteikumu izpratnē ir komersants, kas neatbilst regulas Nr. 651/2014 I pielikumā noteiktajiem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kārtā sasniedzamie projektu uzraudzības rādītāji un to vērtības, kas sasniedzamas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papildu jauda atkritumu pārstrādei. Iznākuma rādītāja vērtība tiek sasniegta, ja atlases kārtas projektu ietvaros veikti ieguldījumi atkritumu pārstrādes iekārtu izveidē, nodrošinot papildu atkritumu pārstrādes iekārtu jaudu 30 000 tonnas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atbalstītie uzņēmumi (tai skaitā mazi, vidēji un lieli uzņēmumi). Iznākuma rādītāja vērtība tiek sasniegta, ja atlases kārtas projektu ietvaros veikti ieguldījumi atkritumu pārstrādes iekārtu izveidē, nodrošinot atbalstu vismaz trīs uzņēmumiem;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 pārstrādāto atkritumu apjoms. Rezultāta rādītāja vērtība tiek sasniegta, ja atlases kārtas projektu ietvaros veikti ieguldījumi atkritumu pārstrādes iekārtu izveidē atbilstoši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noteiktajā apjomā, sasniedzot pārstrādāto atkritumu apjomu 223 000 tonnas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kārtu īsteno atklātas projektu iesniegumu atlases veidā divos uzsaukumos.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ietvaros atbildīgās iestādes funkcijas pilda Vides aizsardzības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kārtas īstenošanai plānotais un pieejamais kopējais attiecināmais finansējums ir 50 000 000 </w:t>
      </w:r>
      <w:r w:rsidR="00000000" w:rsidRPr="00000000" w:rsidDel="00000000">
        <w:rPr>
          <w:i w:val="1"/>
          <w:rtl w:val="0"/>
        </w:rPr>
        <w:t xml:space="preserve">euro</w:t>
      </w:r>
      <w:r w:rsidR="00000000" w:rsidRPr="00000000" w:rsidDel="00000000">
        <w:rPr>
          <w:rtl w:val="0"/>
        </w:rPr>
        <w:t xml:space="preserve">, tai skaitā Kohēzijas fonda finansējums 20 000 000 </w:t>
      </w:r>
      <w:r w:rsidR="00000000" w:rsidRPr="00000000" w:rsidDel="00000000">
        <w:rPr>
          <w:i w:val="1"/>
          <w:rtl w:val="0"/>
        </w:rPr>
        <w:t xml:space="preserve">euro </w:t>
      </w:r>
      <w:r w:rsidR="00000000" w:rsidRPr="00000000" w:rsidDel="00000000">
        <w:rPr>
          <w:rtl w:val="0"/>
        </w:rPr>
        <w:t xml:space="preserve">apmērā un nacionālais līdzfinansējums, ko veido privātais līdzfinansējums vismaz 30 000 000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Neizmantoto Kohēzijas fonda finansējumu, kas atbrīvojies pēc atlases kārtas divu uzsaukumu rīkošanas, novirza pasākuma projektu iesniegumu atlases otrajai kārtai.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Kohēzijas fonda finansējums ir līdz 40 procentiem no projekta kopējā attiecināmā finansējuma, un privātā līdzfinansējuma apmērs ir vismaz 60 procenti no projekta kopējā attiecināmā finansējuma, vienlaikus ievērojot šo noteikumu </w:t>
      </w:r>
      <w:r w:rsidR="00000000" w:rsidRPr="00000000" w:rsidDel="00000000">
        <w:rPr>
          <w:rtl w:val="0"/>
        </w:rPr>
        <w:t xml:space="preserve">44. </w:t>
      </w:r>
      <w:r w:rsidR="00000000" w:rsidRPr="00000000" w:rsidDel="00000000">
        <w:rPr>
          <w:rtl w:val="0"/>
        </w:rPr>
        <w:t xml:space="preserve">punkta</w:t>
      </w:r>
      <w:r w:rsidR="00000000" w:rsidRPr="00000000" w:rsidDel="00000000">
        <w:rPr>
          <w:rtl w:val="0"/>
        </w:rPr>
        <w:t xml:space="preserve">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Kopējais attiecināmais un nacionālais līdzfinansējums var būt mazāks par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ja ir piemērots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minētais maksimālais Kohēzijas fonda finansējuma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Kohēzijas fonda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atlases kārtas ietvaros ir komersants, kura darbība atbilstoši Saimniecisko darbību statistiskās klasifikācijas Eiropas Kopienā 2. redakcijai atbilst E sadaļas 38. vai 39. nodaļai. Projekta iesniedzējs pēc civiltiesiskā līguma par projekta īstenošanu noslēgšanas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līdz pirmā maksājuma pieprasījuma iesniegšanas dienai sadarbības iestādē nodrošina, ka tam ir zemesgrāmatās nostiprinātas tiesības veikt būvdarbus zemesgabalos, kur paredzēts īstenot projektu.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Atbalsts netiek piešķirts grūtībās nonākušam komersantam, attiecībā uz kuru pastāv vismaz viena regulas Nr. 651/2014 2. panta 18. punktā minētā situācija. Projekta iesniedzējs projekta iesniegumam pievieno apliecinājumu, kas apliecina, ka uz to neattiecas regulas Nr. 651/2014 2. panta 18. punktā minētās situācijas.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elektroniski sagatavo projekta iesniegumu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iesniegumam pievieno pārstrādājamo atkritumu pieejamības un pastāvīgas plūsmas nodrošinājuma aprakstu, ievērojot regulas Nr. 651/2014 47. panta 5. punkta nosacījumu, kas paredz, ka atbalsts nedrīkst stimulēt atkritumu rašanos vai resursu lielāku izmantošanu. Aprakstā norādīta atkritumu izcelsme un izvērtētas iekārtu ekspluatācijai nepieciešamo atkritumu ieguves avotu alternatīvas, kā arī sniegts vērtējums par attiecīgā atkritumu veida pieejamību projekta dzīves ciklā.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projekta izmaksu un ieguvumu analīzi (finanšu analīzi un ekonomisko analīzi), ievērojot, ka projekta: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sociālā diskonta likmi;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15 gadi.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Valsts vides dienestā vismaz 45 darbdienas pirms projekta iesnieguma iesniegšanas termiņa iesniedz plānotās pārstrādes iekārtas dokumentāciju latviešu valodā (tehnisko specifikāciju un citu papildinošu dokumentāciju par iekārtas plānoto darbību, ja tāda pieejama). Valsts vides dienests 15 darbdienu laikā no šajā punktā minētās informācijas saņemšanas dienas sagatavo un izsniedz projekta iesniedzējam atzinumu par projektā plānotās iekārtas pārstrādes darbības rezultātā radušos produktu vai materiālu. Projekta iesniedzējs atzinumu pievieno projekta iesniegumam.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Atlases kārtas ietvaros ir atbalstāma trešo personu radītu atkritumu pārstrādes iekārtu izveide, īstenojot arī sabiedrības izglītošanas un vides apziņu veicinošus pasākumus.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Atlases kārtas ietvaros ieguldījumus veic tādos materiālajos aktīvos kā ražošanas telpas jeb ēkas, tehnika, tai skaitā transportlīdzekļi, iekārtas un aprīkojums, kas ir ieguldījumi pamatlīdzekļos ar nosacījumu,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iegādātie aktīvi ir jauni;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iekļauj finansējuma saņēmēja aktīvos kā amortizējamos ilgtermiņa ieguldījumus un tie paliek Latvijas Republikā un finansējuma saņēmēja īpašumā pēc projekta pabeigšanas (pēc pēdējā maksājuma veikšanas projektā) par attiecīgo projektu vismaz piecus gadus.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Atlases kārtas ietvaros nav atbalstāmi ieguldījumi: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atkritumu reģenerācijas, tai skaitā ar enerģijas atguvi, iekārtu izveidē;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atkritumu pārstrādes iekārtu izveidē, kur viens atkritumu pārstrādes cikls ilgst vairāk kā trīs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 saimnieciskās darbības rezultātā radīto atkritumu pārstrādei;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esošu atkritumu pārstrādes iekārtu darbības uzlabošanai vai nomaiņai, vai jaudas palielināšanai;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notekūdeņu attīrīšanas iekārtu dūņu pārstrādei;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tādu atkritumu pārstrādes iekārtu izveidē, kurās Latvijā radīto pārstrādājamo atkritumu apjoms ir mazāks par 50 procentiem no iekārtu jaudas.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Atlases kārtas ietvaros plāno 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Tiešās attiecināmās izmaksas, kas sekmē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rādītāju sasniegšanu,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izstrādes, autoruzraudzības un būvdarbu būvuzraudzības izmaksas, ja to veikšanu nosaka būvniecības jomu regulējošie normatīvie akti, nepārsniedzot 10 procentus no projekta kopējām attiecināmajām izmaksām, ja šīs izmaksas veido projekta ietvaros radīto pamatlīdzekļu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mērķu sasniegšanai paredzēto tehnoloģisko iekārtu iegādes, uzstādīšanas un ieregulēšanas izmaksas, ja uzstādīšanas un ieregulēšanas izmaksas veido tehnoloģisko iekārtu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traktortehnikas iegādes izmaksas, nepārsniedzot 10 procentus no projekta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informatīvo un publicitātes pasākumu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2021.–2027. gada plānošanas periodā publisko informāciju par projektiem un nodrošina Eiropas Savienības fondu publicitātes, saziņas un vizuālās identitātes prasību ieviešanu, bet nepārsniedzot vienu procentus no projekta kopējām tiešajām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par sabiedrības informēšanas un izglītošanas pasākumu veikšanu, kas nav šo noteikumu </w:t>
      </w:r>
      <w:r w:rsidR="00000000" w:rsidRPr="00000000" w:rsidDel="00000000">
        <w:rPr>
          <w:rtl w:val="0"/>
        </w:rPr>
        <w:t xml:space="preserve">24.5.1. </w:t>
      </w:r>
      <w:r w:rsidR="00000000" w:rsidRPr="00000000" w:rsidDel="00000000">
        <w:rPr>
          <w:rtl w:val="0"/>
        </w:rPr>
        <w:t xml:space="preserve">apakšpunktā</w:t>
      </w:r>
      <w:r w:rsidR="00000000" w:rsidRPr="00000000" w:rsidDel="00000000">
        <w:rPr>
          <w:rtl w:val="0"/>
        </w:rPr>
        <w:t xml:space="preserve"> minētās izmaksas, bet ne vairāk kā 10 procenti no projekta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24.5. </w:t>
      </w:r>
      <w:r w:rsidR="00000000" w:rsidRPr="00000000" w:rsidDel="00000000">
        <w:rPr>
          <w:rtl w:val="0"/>
        </w:rPr>
        <w:t xml:space="preserve">apakšpunktā</w:t>
      </w:r>
      <w:r w:rsidR="00000000" w:rsidRPr="00000000" w:rsidDel="00000000">
        <w:rPr>
          <w:rtl w:val="0"/>
        </w:rPr>
        <w:t xml:space="preserve"> noteiktās izmaksas finansē no privātā līdzfinansējuma vai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Eiropas Parlamenta un Padomes 2021. gada 24. jūnija Regulas (ES) Nr.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64. panta 1. punkta "c" apakšpunktā ietvertajiem nosacījumiem, ja vien tie nav atgūstami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iesniegumā neiekļauj un finansējumu nepiešķir pabeigtām darbībām, izņemot darbības, kas saistītas ar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minētajām būvprojekta izstrādes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finansējuma saņēmēja līdzekļiem, par kuriem nav saņemts nekāds komercdarbības atbalsts. Ārpus projekta nedrīkst paredzēt izmaksas par darbībām, kas tiešā veidā nodrošina projekta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Projektā var paredzēt līdzekļus neparedzētiem izdevumiem, kas nepārsniedz piecus procentus no projekta kopējām attiecināmajām izmaksām. Neparedzētie izdevumi ir izdevumi tādu papildu darbu vai pakalpojumu veikšanai, kas neparedzamu apstākļu dēļ ir kļuvuši nepieciešami, lai varētu izpildīt civiltiesiskā līguma par projekta īstenošanu nosacījumus un izmantotu ar projekta īstenošanu saistīto attiecināmo izmaksu segšanai. Neparedzēto izmaksu izmantošanu pirms izmaksu veikšanas finansējuma saņēmējs saskaņo ar sadarbības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Atlases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Atlases kārtas ietvaros projektu īsteno saskaņā ar civiltiesisko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ietvaros iepirkumus veic saskaņā ar normatīvajiem aktiem publisko iepirkumu jomā,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nodrošina, ka projekta ietvaros izveidotajā atkritumu pārstrādes iekārtā pēcuzraudzības periodā tiek veikta atkritumu pārstrāde un ne vēlāk kā pēdējā projekta pēcuzraudzības gadā nodrošina, ka tiek pārstrādāti atkritumi vismaz projekta iesniegumā plānotajā apjomā atbilstoši izveidotajai iekārtas jaudai. Katru pēcuzraudzības perioda gadu finansējuma saņēmējs sniedz informāciju sadarbības iestādei par projekta ietvaros izveidotajā atkritumu pārstrādes iekārtā pārstrādāto atkritumu daudzumu atbilstoši informācijai piesārņojošās darbības pārskata veidlapā "Veidlapa Nr. 3 – Atkritumi. Pārskats par atkritumiem", kas aizpildīta saskaņā ar normatīvajiem aktiem par vides aizsardzības oficiālo statistiku un piesārņojošas darbības pārskata veidlapām.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projektā faktiski apgūtais finansējuma apjoms saskaņā ar sadarbības iestādē iesniegto noslēguma maksājuma pieprasījumu ir mazāks nekā sākotnēji projekta iesniegumā tika paredzēts, finansējuma saņēmējs nodrošina, ka atkritumu pārstrādes iekārtas jauda nav mazāka par sākotnēji projekta iesniegumā plānoto.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regulas Nr. 2021/1060 47. un 50. pantā noteiktos informācijas un publicitātes pasākumus saskaņā 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izmaksu pieaugumu sedz no saviem līdzekļiem, par kuriem nav saņemts nekāds komercdarbības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pārliecinās, ka līdzfinansēto pakalpojumu vai būvdarbu izmaksas atbilst tirgus cenai;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īpašumā, turējumā vai lietojumā projekta īstenošanas laikā un vismaz 15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projekta rezultātu ilgtspēju un uzturēšanu visu projekta iesniegumā norādīto ieguldījumu dzīves ciklu;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datus par projekta ietekmi uz horizontālo principu īstenošanu projekta īstenošanas un pēcuzraudzības laikā un ievēro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vienlīdzība, iekļaušana, nediskriminācija un pamattiesību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līdz noslēguma maksājuma iesniegšanai iegūst atbilstošu piesārņojošas darbības atļauju, ja vien projektā paredzētajai darbībai paredzētajā apjomā tā jau nav izsniegta;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novērš interešu konflikta risku saskaņā ar Eiropas Parlamenta un Padomes 2018. gada 18. jūlija Regulas (ES, Euratom) Nr. 2018/1046</w:t>
      </w:r>
      <w:r w:rsidR="00000000" w:rsidRPr="00000000" w:rsidDel="00000000">
        <w:rPr>
          <w:i w:val="1"/>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sadarbības iestādei ir pieejami valsts budžeta līdzekļi, tā, izvērtējot plānotā avansa apmēru un tā pamatojumu un pamatojoties uz finansējuma saņēmēja rakstisku avansa pieprasījumu, pēc civiltiesiskā līguma par projekta īstenošanu noslēgšanas var piešķirt finansējuma saņēmējam avansu. Finansējuma saņēmējs avansa pieprasījumu sagatavo un sadarbības iestāde to apstiprina, ņemot vērā, ka plānotā avansa apmērs un tā pamatojums atbilst finansējuma saņēmēja spējai to izlietot sešu mēnešu laikā saimnieciskā gada ietvaros. Finansējuma saņēmējam avansu var piešķirt līdz 30 procentiem no projektam piešķirtā Kohēzijas fonda finansējuma, ievērojot, ka avansu var izmaksāt vairākos maksājumos un avansa un starpposma maksājumu kopsumma nepārsniedz 90 procentus no projektam piešķirtā Kohēzijas fonda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Komercdarbības atbalstu šo noteikumu ietvaros piešķir saskaņā ar regulas Nr. 651/2014 47.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Komercdarbības atbalstu saskaņā ar regulas Nr. 651/2014 47. pantu projekta iesniedzējam piešķir, ja ievēroti arī visi turpmāk minētie regulas Nr. 651/2014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651/2014;</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651/2014 un kurām tiek nodrošināta izmaksu nošķiršana, lai darbības izslēgtajās nozarēs negūst labumu no atbalsta, kas piešķirts saskaņā ar regulu Nr. 651/2014;</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 panta 1. punkta “s” apakšpunkta nosacījums par viena ieguldījumu projekta apmēru vienam uzņēmumam.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Izmaksas ir attiecināmas no projekta iesnieguma iesniegšanas dienas sadarbības iestādē, izņemot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paredzētās būvprojekta izstrādes izmaksas, kas ir attiecināmas no 2023.gada 1. jūlija.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projekta darbības, izņemot būvprojekta izstrādi, ir uzsāktas un izmaksas radušās pirms projekta iesnieguma iesniegšanas sadarbības iestādē, projekta iesniegums tiek noraidīts.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Ar projekta izmaksām  saistītos līgumus slēdz un ar ieguldījumiem saistītus darbus uzsāk pēc projekta iesnieguma iesniegšanas sadarbības iestādē, tai skaitā, ievērojot arī regulas Nr. 651/2014 2.panta 23. punktā minēto nosacījumu par darbu sākumu un regulas Nr. 651/2014 6.panta 2. punktā minēto stimulējošās ietekmes prasību. Līgumi, kas var būt noslēgti pirms projekta iesnieguma iesniegšanas sadarbības iestādē, ir saistīti ar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minētajām būvprojekta izstrādes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Maksimālā Kohēzijas fonda finansējuma intensitāte, kurā neiekļauj </w:t>
      </w:r>
      <w:r w:rsidR="00000000" w:rsidRPr="00000000" w:rsidDel="00000000">
        <w:rPr>
          <w:i w:val="1"/>
          <w:rtl w:val="0"/>
        </w:rPr>
        <w:t xml:space="preserve">de minimis </w:t>
      </w:r>
      <w:r w:rsidR="00000000" w:rsidRPr="00000000" w:rsidDel="00000000">
        <w:rPr>
          <w:rtl w:val="0"/>
        </w:rPr>
        <w:t xml:space="preserve">atbalstu šo noteikumu </w:t>
      </w:r>
      <w:r w:rsidR="00000000" w:rsidRPr="00000000" w:rsidDel="00000000">
        <w:rPr>
          <w:rtl w:val="0"/>
        </w:rPr>
        <w:t xml:space="preserve">24.5. </w:t>
      </w:r>
      <w:r w:rsidR="00000000" w:rsidRPr="00000000" w:rsidDel="00000000">
        <w:rPr>
          <w:rtl w:val="0"/>
        </w:rPr>
        <w:t xml:space="preserve">apakšpunktā</w:t>
      </w:r>
      <w:r w:rsidR="00000000" w:rsidRPr="00000000" w:rsidDel="00000000">
        <w:rPr>
          <w:rtl w:val="0"/>
        </w:rPr>
        <w:t xml:space="preserve"> minēto izmaksu segšanai, ievērojot regulas Nr. 651/2014 47. panta 8. un 9. punktā minēto, ir šāda: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mazajiem uzņēmumiem 75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uzņēmumiem 65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uzņēmumiem 55 procenti.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Projekta iesniedzējs atbilstoši regulas Nr. 651/2014 47. panta 7. punktam projekta iesniegumā apraksta un pievieno dokumentārus pierādījumus, ka atbalsta nepiešķiršanas gadījumā ieguldījums netiktu veikts, piemēram, šādu iemeslu dēļ:</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tirgus nepilnības Latvijā;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otrreizēju izejvielu pieprasījuma kritums;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otrreizēju izejvielu cenu izmaiņas;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projekta iesniedzēja sniegti pierādījumi.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piešķir šo noteikumu </w:t>
      </w:r>
      <w:r w:rsidR="00000000" w:rsidRPr="00000000" w:rsidDel="00000000">
        <w:rPr>
          <w:rtl w:val="0"/>
        </w:rPr>
        <w:t xml:space="preserve">24.5. </w:t>
      </w:r>
      <w:r w:rsidR="00000000" w:rsidRPr="00000000" w:rsidDel="00000000">
        <w:rPr>
          <w:rtl w:val="0"/>
        </w:rPr>
        <w:t xml:space="preserve">apakšpunktā</w:t>
      </w:r>
      <w:r w:rsidR="00000000" w:rsidRPr="00000000" w:rsidDel="00000000">
        <w:rPr>
          <w:rtl w:val="0"/>
        </w:rPr>
        <w:t xml:space="preserve"> minētajām projekta informatīvo un publicitātes pasākumu izmaksām, sniedz saskaņā ar regulu Nr. 1407/2013,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atbalsts triju fiskālo gadu periodā nepārsniedz 200 000 </w:t>
      </w:r>
      <w:r w:rsidR="00000000" w:rsidRPr="00000000" w:rsidDel="00000000">
        <w:rPr>
          <w:i w:val="1"/>
          <w:rtl w:val="0"/>
        </w:rPr>
        <w:t xml:space="preserve">euro </w:t>
      </w:r>
      <w:r w:rsidR="00000000" w:rsidRPr="00000000" w:rsidDel="00000000">
        <w:rPr>
          <w:rtl w:val="0"/>
        </w:rPr>
        <w:t xml:space="preserve">vienam vienotam uzņēmumam;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1407/2013 1. panta 1. punktā minētos nozaru un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00000000" w:rsidRPr="00000000" w:rsidDel="00000000">
        <w:rPr>
          <w:i w:val="1"/>
          <w:rtl w:val="0"/>
        </w:rPr>
        <w:t xml:space="preserve">de minimis </w:t>
      </w:r>
      <w:r w:rsidR="00000000" w:rsidRPr="00000000" w:rsidDel="00000000">
        <w:rPr>
          <w:rtl w:val="0"/>
        </w:rPr>
        <w:t xml:space="preserve">atbalsta, ko piešķir saskaņā ar šo regulu;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minētais atbalsts nepalielina attiecīgajā fiskālajā gadā, kā arī iepriekšējos divos fiskālajos gados saņemtā </w:t>
      </w:r>
      <w:r w:rsidR="00000000" w:rsidRPr="00000000" w:rsidDel="00000000">
        <w:rPr>
          <w:i w:val="1"/>
          <w:rtl w:val="0"/>
        </w:rPr>
        <w:t xml:space="preserve">de minimis </w:t>
      </w:r>
      <w:r w:rsidR="00000000" w:rsidRPr="00000000" w:rsidDel="00000000">
        <w:rPr>
          <w:rtl w:val="0"/>
        </w:rPr>
        <w:t xml:space="preserve">atbalsta kopējo apmēru līdz līmenim, kas pārsniedz regulas Nr. 1407/2013 3. panta 2. punktā noteikto maksimālo</w:t>
      </w:r>
      <w:r w:rsidR="00000000" w:rsidRPr="00000000" w:rsidDel="00000000">
        <w:rPr>
          <w:i w:val="1"/>
          <w:rtl w:val="0"/>
        </w:rPr>
        <w:t xml:space="preserve"> 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 </w:t>
      </w:r>
      <w:r w:rsidR="00000000" w:rsidRPr="00000000" w:rsidDel="00000000">
        <w:rPr>
          <w:rtl w:val="0"/>
        </w:rPr>
        <w:t xml:space="preserve">atbalsts viena vienota uzņēmuma līmenī. Viens vienots uzņēmums ir tāds uzņēmums, kas atbilst regulas Nr. 1407/2013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Dokumentāciju par atbalsta piešķiršanu saskaņā ar regulas Nr. 1407/2013 6. panta 4. punktu sadarbības iestāde glabā 10 gadus no programmas ietvaros pēdējā piešķirtā atbalsta, bet finansējuma saņēmējs – 10 gadus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Lēmumu par atbalsta piešķiršanu saskaņā ar regulu Nr. 1407/2013 var pieņemt līdz minētās regulas darbības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Lēmumu par komercdarbības atbalsta piešķiršanu pieņem līdz 2027.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iekļautos nosacījumus pārbauda komercdarbības atbalsta piešķiršanas brīdī.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nodrošina, ka ar komercdarbības atbalstu saistīto projekta dokumentāciju glabā atbilstoši noteiktajam projekta dzīves ciklam, sākot no dienas, kad piešķirts komercdarbības atbalsts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 informāciju un apliecinošos dokumentus par sniegto komercdarbības atbalstu glabā 10 gadus no dienas, kad piešķirts pēdējais atbalsts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Sadarbības iestāde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uzraudzību projekta dzīves ciklā;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atbalsta pārredzamības prasības izpildi atbilstoši Nr.651/2014 9. panta 1. un 4. punktam un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saņēmējam ir pienākums atmaksāt sadarbības iestādei projekta ietvaros saņemto nelikumīgo komercdarbības atbalstu kopā ar procentiem no līdzekļiem, kas ir brīvi no komercdarbības atbalsta,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23-TA-2123</w:t>
    </w:r>
    <w:r>
      <w:br/>
    </w:r>
    <w:r w:rsidR="00000000" w:rsidRPr="00000000" w:rsidDel="00000000">
      <w:rPr>
        <w:rtl w:val="0"/>
      </w:rPr>
      <w:t xml:space="preserve">Izdrukāts 30.07.2026. 00.08 - 1.0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23-TA-2123</w:t>
    </w:r>
    <w:r>
      <w:br/>
    </w:r>
    <w:r w:rsidR="00000000" w:rsidRPr="00000000" w:rsidDel="00000000">
      <w:rPr>
        <w:rtl w:val="0"/>
      </w:rPr>
      <w:t xml:space="preserve">Izdrukāts 30.07.2026. 00.08 - 1.0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noteikumu_projekts_23-TA-2123.docx</dc:title>
</cp:coreProperties>
</file>

<file path=docProps/custom.xml><?xml version="1.0" encoding="utf-8"?>
<Properties xmlns="http://schemas.openxmlformats.org/officeDocument/2006/custom-properties" xmlns:vt="http://schemas.openxmlformats.org/officeDocument/2006/docPropsVTypes"/>
</file>