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Farmācijas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Farmācijas likumā (Latvijas Republikas Saeimas un Ministru Kabineta Ziņotājs, 1997, 10. nr.; 1998, 9. nr.; 1999, 2. nr.; 2000, 2., 13. nr.; 2001, 14. nr.; 2003, 9., 11. nr.; 2004, 10. nr.; 2006, 2. nr.; 2007, 21. nr.; 2008, 12., 24. nr.; 2009, 8. nr.;  Latvijas Vēstnesis,  2009, 200. nr.; 2010, 131., 183. nr.; 2012, 200. nr.; 2019, 86. nr.; 2020, 106. nr., 2021, 246. nr.; 2023, 81., 197. nr.; 2024, 128 A nr. )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25.</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Par tiešām zāļu piegādēm uz Latvijā licencētu aptieku vai ārstniecības iestādi, ko veic persona, kurai Eiropas Savienības dalībvalstī vai Eiropas Ekonomikas zonas valstī ir izsniegta speciālā atļauja (licence), šā panta pirmajā daļā noteiktā informācija nav jāsniedz.".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Stacionārā ārstniecības iestāde, kurā ir slēgta tipa jeb ārstniecības iestādes aptieka, var iegādāties zāles, tajā skaitā nereģistrētās zāles, normatīvajos aktos par izplatīšanu un zāļu iegādi, uzglabāšanu un izlietošanu ārstniecības iestādēs noteiktajā kārtībā citā Eiropas Savienības dalībvalstī un Eiropas Ekonomikas zonas valstī no Eiropas Savienības dalībvalstī vai Eiropas Ekonomikas zonas valstī licencētiem zāļu ražotājiem un zāļu vairumtirgotājiem vai izņēmuma gadījumā nereģistrētās zāles trešajā valstī no zāļu ražotājiem un zāļu vairumtirgotājiem, kuru darbību ir atļāvušas attiecīgās valsts kompetentās institūcijas.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Izņēmuma gadījumā vispārēja jeb atvērta tipa aptieka var iegādāties zāles (kas nav reģistrētas Eiropas Savienībā saskaņā ar regulu Nr. 726/2004), tajā skaitā nereģistrētās zāles, normatīvajos aktos par zāļu izplatīšanu noteiktajā kārtībā citā Eiropas Savienības dalībvalstī vai Eiropas Ekonomikas zonas valstī no zāļu ražotājiem un izplatītājiem, kuru darbību ir atļāvušas attiecīgās valsts kompetentās institūcijas, ja  tas nepieciešams zāļu pieejamības nodrošināšanai vai pastāv citi objektīvi iemesli, kas kavē zāļu saņemšanu.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25-TA-588</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25-TA-588</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likumprojekts_(grozījumi)_25-TA-588.docx</dc:title>
</cp:coreProperties>
</file>

<file path=docProps/custom.xml><?xml version="1.0" encoding="utf-8"?>
<Properties xmlns="http://schemas.openxmlformats.org/officeDocument/2006/custom-properties" xmlns:vt="http://schemas.openxmlformats.org/officeDocument/2006/docPropsVTypes"/>
</file>