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5.1.1. specifiskā atbalsta mērķa "Novērst plūdu un krasta erozijas risku apdraudējumu pilsētu teritorijās" projektu iesniegumu otrās un trešās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"Vides aizsardzība un resursu izmantošanas efektivitāte" 5.1.1. specifiskā atbalsta mērķa "Novērst plūdu un krasta erozijas risku apdraudējumu pilsētu teritorijās" (turpmāk – specifiskais atbalsts) projektu iesniegumu otro un trešo atlases kārtu (turpmāk – atlases 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kārtām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Kohēzijas fonda projekta iesniedzējam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vienošanās par projekta īstenošanu (turpmāk – vienošanās)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mērķis ir pielāgoties klimata pārmaiņām, samazinot augstu plūdu risku, un nodrošināt iedzīvotājiem kvalitatīvu dzīves vidi, kā arī saimnieciskās darbības konkurētspēju un turpmāku pastāvēšanu.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kārtu mērķa grupa ir pašvaldības, to iedzīvotāji un komersanti plūdu un krasta erozijas riskam pakļautajās nacionālas nozīmes plūdu risku teritorijās.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Īstenojot atlases kārtas, līdz 2023. gada 31. decembrim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iedzīvotāju skaits, kuri gūst labumu no pretplūdu pasākumiem, – 174 188;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specifiskais iznākuma rādītājs: dažādu veidu piesārņoto vietu un piesārņojumu emitējošo objektu skaits projektos, kuros samazināts vides un sociālekonomisko zaudējumu risks, kas rastos šo vietu applūšanas gadījumā, – vismaz 45;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piesārņoto vietu un piesārņojumu emitējošo objektu skaits, kuriem jāsamazina vides un sociālekonomisko zaudējumu risks, kas rastos šo vietu applūšanas gadījumā, ir robežās no 74 līdz 58;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 līdz 2018. gada 31. decembrim sertificēti izdevumi 5 131 592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horizontālā principa "Ilgtspējīga attīstība" uzraudzības rādītājs un tā sasniedzamā vērtība – atbilstoši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312; MK 02.09.2020.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Atlases kārtas īsteno ierobežotas projektu iesniegumu atlases veidā līdz 2023. gada 31. decembrim, izņemot gadījumus, kas minēti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finansējuma saņēmējs projektā plānotās darbības nevar pilnībā pabeigt un sasniegt projektā plānotos iznākuma rādītājus līdz 2023. gada 31. decembrim, finansējuma saņēmējs var pabeigt projektā plānotās darbības un sasniegt plānotos iznākuma rādītājus, nodrošinot projekta mērķa sasniegšanu un funkcionalitāti, par saviem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oktobrim.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minētajā gadījumā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priekšlikumus par grozījumiem vienošanās nosacījumos iesniedz sadarbības iestādē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maksājuma pieprasījumu sagatavo par laikposmu līdz 2023. gada 31. decembrim un iesniedz sadarbības iestādē līdz 2024. gada 30. janvārim. Noslēguma maksājuma pieprasījumā nodala laikposmā līdz 2023. gada 31. decembrim pabeigtās projekta darbības, sasniegtos iznākuma rādītājus un veiktos izdevumus no projekta darbībām, plānotajiem iznākuma rādītājiem un izdevumiem, kas tiks pabeigti, sasniegti vai veikti laikposmā no 2024. gada 1. janvāra līdz projekta īstenošanas termiņa beigām, bet ne vēlāk kā līdz 2024. gada 31.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oktobrim iesniedz sadarbības iestādē dokumentāciju, kas apliecina pabeigtās projekta darbības un sasniegtos iznākuma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minētajā gadījumā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priekšlikumus par grozījumiem vienošanās nosacījumos iesniedz sadarbības iestādē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maksājuma pieprasījumu sagatavo par laikposmu līdz 2023. gada 31. decembrim un iesniedz sadarbības iestādē līdz 2024. gada 30. janvārim. Noslēguma maksājuma pieprasījumā nodala laikposmā līdz 2023. gada 31. decembrim pabeigtās projekta darbības, sasniegtos iznākuma rādītājus un veiktos izdevumus no projekta darbībām, plānotajiem iznākuma rādītājiem un izdevumiem, kas tiks pabeigti, sasniegti vai veikti laikposmā no 2024. gada 1. janvāra līdz projekta īstenošanas termiņa beigām, bet ne vēlāk kā līdz 2026. gada 31.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oktobrim iesniedz sadarbības iestādē dokumentāciju, kas apliecina pabeigtās projekta darbības un sasniegtos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Sadarbības iestāde pārbauda šo noteikumu </w:t>
      </w:r>
      <w:r w:rsidR="00000000" w:rsidRPr="00000000" w:rsidDel="00000000">
        <w:rPr>
          <w:rtl w:val="0"/>
        </w:rPr>
        <w:t xml:space="preserve">5.</w:t>
      </w:r>
      <w:r w:rsidR="00000000" w:rsidRPr="00000000" w:rsidDel="00000000">
        <w:rPr>
          <w:vertAlign w:val="superscript"/>
          <w:rtl w:val="0"/>
        </w:rPr>
        <w:t xml:space="preserve">2 </w:t>
      </w:r>
      <w:r w:rsidR="00000000" w:rsidRPr="00000000" w:rsidDel="00000000">
        <w:rPr>
          <w:rtl w:val="0"/>
        </w:rPr>
        <w:t xml:space="preserve">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w:t>
      </w:r>
      <w:r w:rsidR="00000000" w:rsidRPr="00000000" w:rsidDel="00000000">
        <w:rPr>
          <w:vertAlign w:val="superscript"/>
          <w:rtl w:val="0"/>
        </w:rPr>
        <w:t xml:space="preserve">3 </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 noslēguma maksājuma pieprasījumā iekļauto informāciju un veic maksājumus par noslēguma maksājuma pieprasījumā iekļautajiem attiecināmajiem izdevumiem, kas veikti laikposmā līdz 2023.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finansējuma saņēmējs par saviem līdzekļiem nepabeidz visas plānotās projekta darbības un nesasniedz visus plānotos projekta iznākuma rādītājus līdz 2024. gada 31. oktobrim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minētajā gadījumā vai līdz 2026. gada 31. oktobrim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minētajā gadījumā, finansējuma saņēmējs saskaņā ar vienošanos par projekta īstenošanu nosacījumiem atmaksā sadarbības iestādei visu projekta ietvaros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Specifiskā atbalsta mērķa ietvaros atbildīgās iestādes funkcijas pilda Vides aizsardzības un reģionālās attīstības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mērķteritorija ir nacionālas nozīmes plūdu riska teritorijās esošās republikas un novadu pilsētas, kā arī blīvi apdzīvotās teritorijas, kas atbilst pilsētu pazīmēm (izņemot valsts īpašumā esošus polderus).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Atlases kārtām pieejamais kopējais attiecināmais finansējums ir vismaz 27 662 703 </w:t>
      </w:r>
      <w:r w:rsidR="00000000" w:rsidRPr="00000000" w:rsidDel="00000000">
        <w:rPr>
          <w:i w:val="1"/>
          <w:rtl w:val="0"/>
        </w:rPr>
        <w:t xml:space="preserve">euro</w:t>
      </w:r>
      <w:r w:rsidR="00000000" w:rsidRPr="00000000" w:rsidDel="00000000">
        <w:rPr>
          <w:rtl w:val="0"/>
        </w:rPr>
        <w:t xml:space="preserve">, tai skaitā Kohēzijas fonda finansējums – 23 513 297 </w:t>
      </w:r>
      <w:r w:rsidR="00000000" w:rsidRPr="00000000" w:rsidDel="00000000">
        <w:rPr>
          <w:i w:val="1"/>
          <w:rtl w:val="0"/>
        </w:rPr>
        <w:t xml:space="preserve">euro</w:t>
      </w:r>
      <w:r w:rsidR="00000000" w:rsidRPr="00000000" w:rsidDel="00000000">
        <w:rPr>
          <w:rtl w:val="0"/>
        </w:rPr>
        <w:t xml:space="preserve">, nacionālais finansējums (pašvaldību finansējums, valsts budžeta dotācija pašvaldībām) – vismaz 4 149 406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iesniedzēja līdzfinansējumā paredz valsts budžeta dotāciju atbilstoši normatīvajiem aktiem par valsts budžeta dotācijas piešķiršanu pašvaldībām Eiropas Savienības struktūrfondu un Kohēzijas fonda 2014.–2020. gada plānošanas periodā līdzfinansēto projektu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Projektu iesniegumu atlases kārtām plānotais attiecināmā finansējuma sadalījums ir šāds: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otrajai atlases kārtai kopējais attiecināmais finansējums ir vismaz 26 608 273 </w:t>
      </w:r>
      <w:r w:rsidR="00000000" w:rsidRPr="00000000" w:rsidDel="00000000">
        <w:rPr>
          <w:i w:val="1"/>
          <w:rtl w:val="0"/>
        </w:rPr>
        <w:t xml:space="preserve">euro</w:t>
      </w:r>
      <w:r w:rsidR="00000000" w:rsidRPr="00000000" w:rsidDel="00000000">
        <w:rPr>
          <w:rtl w:val="0"/>
        </w:rPr>
        <w:t xml:space="preserve">, tai skaitā Kohēzijas fonda finansējums – 22 617 032 </w:t>
      </w:r>
      <w:r w:rsidR="00000000" w:rsidRPr="00000000" w:rsidDel="00000000">
        <w:rPr>
          <w:i w:val="1"/>
          <w:rtl w:val="0"/>
        </w:rPr>
        <w:t xml:space="preserve">euro</w:t>
      </w:r>
      <w:r w:rsidR="00000000" w:rsidRPr="00000000" w:rsidDel="00000000">
        <w:rPr>
          <w:rtl w:val="0"/>
        </w:rPr>
        <w:t xml:space="preserve">, nacionālais finansējums (pašvaldību finansējums, valsts budžeta dotācija pašvaldībām) – vismaz 3 991 241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trešajai atlases kārtai plānotais kopējais attiecināmais finansējums ir vismaz 1 054 430 </w:t>
      </w:r>
      <w:r w:rsidR="00000000" w:rsidRPr="00000000" w:rsidDel="00000000">
        <w:rPr>
          <w:i w:val="1"/>
          <w:rtl w:val="0"/>
        </w:rPr>
        <w:t xml:space="preserve">euro</w:t>
      </w:r>
      <w:r w:rsidR="00000000" w:rsidRPr="00000000" w:rsidDel="00000000">
        <w:rPr>
          <w:rtl w:val="0"/>
        </w:rPr>
        <w:t xml:space="preserve">, tai skaitā Kohēzijas fonda finansējums – 896 265 </w:t>
      </w:r>
      <w:r w:rsidR="00000000" w:rsidRPr="00000000" w:rsidDel="00000000">
        <w:rPr>
          <w:i w:val="1"/>
          <w:rtl w:val="0"/>
        </w:rPr>
        <w:t xml:space="preserve">euro</w:t>
      </w:r>
      <w:r w:rsidR="00000000" w:rsidRPr="00000000" w:rsidDel="00000000">
        <w:rPr>
          <w:rtl w:val="0"/>
        </w:rPr>
        <w:t xml:space="preserve">, nacionālais finansējums (pašvaldību finansējums, valsts budžeta dotācija pašvaldībām) – vismaz 158 165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554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02.09.2020.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02.09.2020.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02.09.2020.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Maksimālais attiecināmais Kohēzijas fonda finansējuma apmērs projektā nepārsniedz 85 procentus no projektam plānotā kopējā attiecināmā finansējuma. Pārējo finansējumu – ne mazāk kā 15 procentus no kopējā projekta attiecināmā finansējuma – veido nacionālais finansējums (pašvaldību finansējums, valsts budžeta dotācija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Kohēzijas fonda finansējums nedrīkst pārsniegt šo noteikumu pielikumā minēto maksimālo finansējumu projektam un vienlaikus 2000 </w:t>
      </w:r>
      <w:r w:rsidR="00000000" w:rsidRPr="00000000" w:rsidDel="00000000">
        <w:rPr>
          <w:i w:val="1"/>
          <w:rtl w:val="0"/>
        </w:rPr>
        <w:t xml:space="preserve">euro</w:t>
      </w:r>
      <w:r w:rsidR="00000000" w:rsidRPr="00000000" w:rsidDel="00000000">
        <w:rPr>
          <w:rtl w:val="0"/>
        </w:rPr>
        <w:t xml:space="preserve"> izmaksas uz vienu šo noteikumu </w:t>
      </w:r>
      <w:r w:rsidR="00000000" w:rsidRPr="00000000" w:rsidDel="00000000">
        <w:rPr>
          <w:rtl w:val="0"/>
        </w:rPr>
        <w:t xml:space="preserve">4.1.</w:t>
      </w:r>
      <w:r w:rsidR="00000000" w:rsidRPr="00000000" w:rsidDel="00000000">
        <w:rPr>
          <w:rtl w:val="0"/>
        </w:rPr>
        <w:t xml:space="preserve"> apakšpunktā minētā iznākuma rādītāja vienību.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atlases kārtas ietvaros ir pašvaldība vai pašvaldības iestāde, kas saskaņā ar normatīvajos aktos noteiktajām pašvaldību autonomajām funkcijām nodrošina pretplūdu pasākumus savā administratīvajā teritorijā (tai skaitā attiecīgās pašvaldības valdījumā esošajā jūras piekrastes sauszemes daļā un jūras piekrastes ūdeņos, un iekšzemes publiskajos ūdeņos).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nodrošina, ka tam projekta īstenošanas un pēcuzraudzības periodā ir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būvdarbus zemesgabalos (tai skaitā zem ūdensobjekta esošos zemesgabalos), kur paredzēts īstenot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piekļūt zemesgabaliem, kur paredzēts īstenot projektu, un veikt tajos infrastruktūras uzturēšanas darbus.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sagatavo projekta iesniegumu atbilstoši sadarbības iestādes izstrādātajam projektu iesniegumu atlases kārtas nolikumam un iesniedz to sadarbības iestādē elektroniski, izmantojot Kohēzijas politikas fondu vadības informācijas sistēmu 2014.–2020.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iesniegumu otrās atlases kārtas projekta iesniedzējs plāno projekta sasniedzamos iznākuma un specifiskā iznākuma rādītājus un Kohēzijas fonda finansējumu atbilstoši šo noteikumu pielikumam. Sasniedzamos iznākuma un specifiskā iznākuma rādītājus plāno ne mazāk kā 97 procentu apmērā no šo noteikumu pielikumā attiecīgajam projektam noteiktās iznākuma un specifiskā iznākuma rādītāja vērtības (skaita).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02.09.2020.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02.09.2020.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Atlases kārtas ietvaros plūdu apdraudēto republikas un novadu pilsētu, kā arī pilsētu pazīmēm atbilstošu blīvi apdzīvoto teritoriju aizsardzībai saskaņā ar upju baseinu apgabalu plūdu riska pārvaldības plāniem 2016.–2021. gadam ir atbalstāma: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hidrotehnisko būvju, tehnoloģisko iekārtu un pārgāžņu pārbūve un atjaunošana, ja tā ir pamatota ar hidroloģiskiem vai hidrauliskiem aprēķiniem;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pretplūdu aizsargbūvju būvniecība, ja tā ir pamatota ar hidroloģisko vai hidroģeoloģisko modeli;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virszemes noteces un lietus ūdeņu novadīšanas infrastruktūras būvju būvniecība, atjaunošana un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dabiskas teritorijas (zaļā infrastruktūra) pilnīga vai daļēja atjaunošana un "zaļo" risinājumu izmantošana plūdu risku novēršanai.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Atlases kārtas ietvaros plūdu apdraudēto teritoriju aizsardzībai nav atbalstāma: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nozīmes meliorācijas sistēmu atjaunošana un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īpašumā esošu polderu infrastruktūras atjaunošana un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potomālo upju regulēto posmu atjaunošana un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pasākumu īstenošana, kuri upju baseinu apgabalu plūdu riska pārvaldības plānos 2016.–2021. gadam nav noteikti ar augstu prioritāti.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Atlases kārtas ietvaros plāno tiešās attiecināmās izmaksas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atbalstāmo darbību īstenošanai 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izstrādes (tai skaitā ar būvniecības ieceri un būvprojekta minimālā sastāvā saistīto sagatavošanas darbu) izmaksas, būvprojekta ekspertīzes izmaksas, ja ekspertīzes veikšanu nosaka normatīvie akti, kā arī autoruzraudzības un būvdarbu būvuzraudzības izmaksas, ja to veikšanu nosaka normatīvie akti;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hidroloģiskā vai hidroģeoloģiskā modeļa, hidroloģisko vai hidraulisko aprēķinu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ietekmes uz vidi novērtējuma veikšanas izmaksas (izņemot sākotnējo ietekmes uz vidi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 specifikāciju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Pievienotās vērtības nodokļa izmaksas, kas tiešā veidā saistītas ar projektu, ir attiecināmas, ja tās nav atmaksājamas nodokļu politiku reglamentējošos normatīvajos aktos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25.4.</w:t>
      </w:r>
      <w:r w:rsidR="00000000" w:rsidRPr="00000000" w:rsidDel="00000000">
        <w:rPr>
          <w:rtl w:val="0"/>
        </w:rPr>
        <w:t xml:space="preserve"> un </w:t>
      </w:r>
      <w:r w:rsidR="00000000" w:rsidRPr="00000000" w:rsidDel="00000000">
        <w:rPr>
          <w:rtl w:val="0"/>
        </w:rPr>
        <w:t xml:space="preserve">25.5.</w:t>
      </w:r>
      <w:r w:rsidR="00000000" w:rsidRPr="00000000" w:rsidDel="00000000">
        <w:rPr>
          <w:rtl w:val="0"/>
        </w:rPr>
        <w:t xml:space="preserve"> apakšpunktā minētās izmaksas kopā nepārsniedz 10 procentus no tiešajām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Neattiecināmās izmaksas finansējuma saņēmējs sedz no saviem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27.</w:t>
      </w:r>
      <w:r w:rsidR="00000000" w:rsidRPr="00000000" w:rsidDel="00000000">
        <w:rPr>
          <w:rtl w:val="0"/>
        </w:rPr>
        <w:t xml:space="preserve"> punktā minēto izmaksu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labiekārtošanas izmaksas, kas nav tieši saistītas ar atlases kārtas mērķa sasniegšanu. Šīs izmaksas plāno ne lielākas par diviem procentiem no plānotajām būvdarbu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upju gultnes tīrīšanas izmaksas, ja gultnes tīrīšanas rezultātā iegūtais materiāls netiek izmantots projekta mērķu sasniegšanā;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upes un piegulošo teritoriju pļaušanas un apauguma tīrīšanas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ietvaros radušās izmaksas nevar uzskatīt par attiecināmām,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agrāk par 2014. gada 1. janvāri;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projekta iesnieguma iesniegšanas projekta ietvaros īstenotās būves ir pieņemtas ekspluatācijā un ir parakstīti nodošanas un pieņemšanas akti;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radušās uz darba līguma pamata.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Atlases kārtas un 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Sadarbības iestāde divu mēnešu laikā pēc šo noteikumu stāšanās spēkā izsludina projektu iesniegumu otro atlases kārtu, nosūtot uzaicinājumu šo noteikumu pielikumā minētajiem projektu iesniegumu otrās atlases kārtas projektu iesniedzējiem.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Sadarbības iestāde līdz 2017. gada 31. decembrim izsludina projektu iesniegumu trešo atlases kārtu.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ne retāk kā reizi sešos mēnešos ievieto aktuālu informāciju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izmaksu pieauguma gadījumā sedz projekta sadārdzinājumu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nav plānots tos finansēt vai līdzfinansēt no citiem valsts un ārvalstu finanšu atbalsta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datus par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apakšpunktā minētajiem uzraudzības rādītājiem administratīvi teritoriālā griezumā;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tiek sasniegtas šo noteikumu pielikumā minētās projekta iznākuma rādītāju un specifiskā iznākuma rādītāju 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trīs gadus pēc noslēguma maksājuma veikšanas sniedz sadarbības iestādei informāciju par enerģijas patēriņu pirms un pēc projekta īstenošanas atbilstoši energoefektivitātes monitoringa un piemērojamā energopārvaldības sistēmas standarta noteikumiem,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uzkrāj datus par objektu skaitu, kuros Kohēzijas fonda ieguldījumu rezultātā ir nodrošināta vides un informācijas pieejamība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29.05.2018. noteikumiem Nr. 309; MK 09.07.2019. noteikumiem Nr. 312; MK 02.09.2020. noteikumiem Nr. 554)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nodrošina sasniegto rezultātu ilgtspēju un uzturēšanu vismaz piecus gadus pēc noslēguma maksājuma veikšanas.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Atbalstāma ir vides prasību integrācija preču, pakalpojumu un būvdarbu iepirkumos (zaļais publiskais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Pārbūvējamai un atjaunojamai infrastruktūrai, kur plānots veikt ieguldījumus, jābūt projekta iesniedzēja īpašumā vai ilgtermiņa nomā uz termiņu, kas nav īsāks par pieciem gadiem pēc noslēguma maksājuma veikšanas.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iestādei ir tiesības vienpusēji atkāpties no vienošanās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būtiski nepilda vienošanās nosacījumus, tai skaitā projekta īstenošana nenotiek atbilstoši projektā noteiktajam laika grafikam vai ir iestājušies citi apstākļi, kas būtiski ietekmē vai var ietekmēt atlases kārtas mērķi vai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atbilstoši vienošanās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vienošanās noslēgšanas sadarbības iestāde, pamatojoties uz finansējuma saņēmēja rakstisku avansa pieprasījumu atbilstoši normatīvajam aktam par valsts budžeta līdzekļu plānošanu Eiropas Savienības struktūrfondu un Kohēzijas fonda projektu īstenošanai un maksājumu veikšanu 2014.–2020. gada plānošanas periodā, nodrošina finansējuma saņēmējam avansa maksājumus, kuru kopsumma nepārsniedz 30 procentus no projektam piešķirtā Kohēzijas fonda un, ja tas paredzēts projektā, valsts budžeta dotācijas pašvaldībām finansējuma kopsummas. Avansu var izmaksāt vairākos maksājumos.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vieta ir Latvijas Republika.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23-TA-2916</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23-TA-2916</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noteikumu_konsolidētā_versija_23-TA-2916.docx</dc:title>
</cp:coreProperties>
</file>

<file path=docProps/custom.xml><?xml version="1.0" encoding="utf-8"?>
<Properties xmlns="http://schemas.openxmlformats.org/officeDocument/2006/custom-properties" xmlns:vt="http://schemas.openxmlformats.org/officeDocument/2006/docPropsVTypes"/>
</file>