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14. jūnija noteikumos Nr. 450 "Noteikumi par valsts naftas produktu rezervju apmēru, apmēru, kādā maksājama valsts nodeva par drošības rezervju uzturēšanu, kā arī tās aprēķināšanas, maksāšanas un administrēšanas kārtību" (Latvijas Vēstnesis, 2011, 95., 205. nr.; 2012, 101. nr.; 2013, 125., 149. nr.; 2014, 138. nr.; 2015, 137. nr.; 2016, 139. nr.; 2018, 30., 251. nr.; 2019, 257. nr.; 2021, 19B.,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nodevas likme par drošības rezervju uzturēšanu ir 45,45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6.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Komersants valsts nodevu saskaņā ar šo noteikumu 5. punktā minēto likmi sāk maksāt 2023. gada februārī par janvārī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22-TA-3658</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22-TA-3658</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noteikumu_(grozījumu)_projekts_22-TA-3658.docx</dc:title>
</cp:coreProperties>
</file>

<file path=docProps/custom.xml><?xml version="1.0" encoding="utf-8"?>
<Properties xmlns="http://schemas.openxmlformats.org/officeDocument/2006/custom-properties" xmlns:vt="http://schemas.openxmlformats.org/officeDocument/2006/docPropsVTypes"/>
</file>