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līdzdalību valsts akciju sabiedrībā ”Latvijas autoceļu uzturētājs”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Pamatojoties uz Publiskas personas kapitāla daļu un kapitālsabiedrību pārvaldības likuma 4. panta pirmo daļu un 7. pantu un Valsts pārvaldes iekārtas likuma 88. panta pirmās daļas 1. un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Saglabāt valsts līdzdalību valsts akciju sabiedrībā „Latvijas autoceļu uzturētājs”.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Noteikt valsts akciju sabiedrības “Latvijas autoceļu uzturētājs” vispārējo stratēģisko mērķi – veikt nepārtrauktus valsts autoceļu ikdienas uzturēšanas darbus, lai nodrošinātu iedzīvotājiem nepieciešamās mobilitātes iespējas, satiksmes drošību, kritiski svarīgo dienestu darbību pakalpojumu (neatliekamā medicīniskā palīdzība, ugunsdzēsības un glābšanas dienests, policija) un sabiedriskā transporta funkcionēšanu u.c., kā arī nodrošināt valstij svarīgas ceļu infrastruktūras uzturēšanas pakalpojumu 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Satiksmes ministrijai turpināt pildīt valsts kapitāla daļu turētāja pienākumus.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23-TA-2744</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23-TA-2744</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rīkojuma_projekts_23-TA-2744.docx</dc:title>
</cp:coreProperties>
</file>

<file path=docProps/custom.xml><?xml version="1.0" encoding="utf-8"?>
<Properties xmlns="http://schemas.openxmlformats.org/officeDocument/2006/custom-properties" xmlns:vt="http://schemas.openxmlformats.org/officeDocument/2006/docPropsVTypes"/>
</file>