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Mēslošanas līdzekļu aprites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Mēslošanas līdzekļu aprites likumā (Latvijas Republikas Saeimas un Ministru Kabineta Ziņotājs, 2006, 5., 24. nr.; 2009, 2. nr.; Latvijas Vēstnesis, 2010, 32., 101. nr.; 2013, 127. nr.; 2014, 220. nr.; 2019, 21., 248.A nr.; 2022, 120. nr.; 2025, 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visā likumā vārdus "un substrāts" (attiecīgā skaitlī un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 </w:t>
      </w:r>
      <w:r w:rsidR="00000000" w:rsidRPr="00000000" w:rsidDel="00000000">
        <w:rPr>
          <w:rtl w:val="0"/>
        </w:rPr>
        <w:t xml:space="preserve">un 1.</w:t>
      </w:r>
      <w:r w:rsidR="00000000" w:rsidRPr="00000000" w:rsidDel="00000000">
        <w:rPr>
          <w:vertAlign w:val="superscript"/>
          <w:rtl w:val="0"/>
        </w:rPr>
        <w:t xml:space="preserve">3</w:t>
      </w:r>
      <w:r w:rsidR="00000000" w:rsidRPr="00000000" w:rsidDel="00000000">
        <w:rPr>
          <w:rtl w:val="0"/>
        </w:rPr>
        <w:t xml:space="preserve"> punktā vārdus "vai augu augšanas substrātu";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mēslošanas līdzeklis</w:t>
      </w:r>
      <w:r w:rsidR="00000000" w:rsidRPr="00000000" w:rsidDel="00000000">
        <w:rPr>
          <w:rtl w:val="0"/>
        </w:rPr>
        <w:t xml:space="preserve"> – jebkura viela, maisījums, mikroorganisms vai cits materiāls, kas paredzēts lietošanai atsevišķi vai kopā ar citu materiālu uz augiem, to rizosfērā vai rizosfēras veidošanai, lai nodrošinātu augus ar barības vielām vai uzlabotu to izmantošanas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 punktu;</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izslēgt 5. punktā vārdus "un augu augšanas substrātu";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7. un 8.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paziņots mēslošanas līdzeklis </w:t>
      </w:r>
      <w:r w:rsidR="00000000" w:rsidRPr="00000000" w:rsidDel="00000000">
        <w:rPr>
          <w:rtl w:val="0"/>
        </w:rPr>
        <w:t xml:space="preserve">– mēslošanas līdzeklis, kas likumīgi tirgots citā Eiropas Savienības vai Eiropas Ekonomikas zonas dalībvalstī vai Turcijā un kas ievests Latvijā, ievērojot savstarpējās atzīšanas principu saskaņā ar Eiropas Parlamenta un Padomes 2019. gada 19. marta regulu (ES) 2019/515 par citā dalībvalstī likumīgi tirgotu preču savstarpēju atzīšanu un regulas (EK) Nr. 764/2008 atcelšanu;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mēslošanas līdzeklis sprāgstvielu prekursors</w:t>
      </w:r>
      <w:r w:rsidR="00000000" w:rsidRPr="00000000" w:rsidDel="00000000">
        <w:rPr>
          <w:rtl w:val="0"/>
        </w:rPr>
        <w:t xml:space="preserve"> – kālija nitrāts, nātrija nitrāts, kalcija nitrāts, kalcija amonija nitrāts vai mēslošanas līdzeklis, kurā amonija nitrāta slāpekļa saturs ir 16 procentu vai vairāk no mēslošanas līdzekļa masas vai kurā amonija nitrāta saturs ir 45,7 procenti vai vairāk no mēslošanas līdzekļa masas."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2. pantu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 pants. Likuma mērķis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Šā likuma mērķis ir aizsargāt patērētājus no nekvalitatīvu, cilvēku un dzīvnieku veselībai un videi bīstamu mēslošanas līdzekļu iegādes un lietošanas, noteikt vienādas prasības fiziskajām un juridiskajām personām, kas veic darbības ar mēslošanas līdzekļiem, kā arī nodrošināt, lai tirgū laistajiem mēslošanas līdzekļiem būtu pozitīva ietekme uz augiem un to ražību."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mēslošanas līdzekļiem, kas nav darīti pieejami tirgū;</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darbību veicējiem, kas pēc individuāla pasūtījuma gatavo maisījumus no reģistrētiem mēslošanas līdzekļiem, paziņotiem mēslošanas līdzekļiem un ES mēslošanas līdzekļiem ar CE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6.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amonija nitrāta mēslošanas līdzekļiem, kuros slāpekļa saturs ir 28 procenti vai vairāk no mēslošanas līdzekļa masas vai kuros amonija nitrāta saturs ir 80 procentu vai vairāk no mēslošanas līdzekļa masas (turpmāk – amonija nitrāta mēslošanas līdzeklis ar augstu slāpekļa saturu) un kuriem piemēro kādu no muitas procedūrām, izņemot tos mēslošanas līdzekļus, kuriem piemēro muitas procedūru – tranzīts vai laišana brīvā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mēslošanas līdzekļu uzraudzību, kontroli un reģistrāciju, informācijas sniegšanu un neatbilstības gadījumu paziņošanu Eiropas Komisijai (4. panta pirmās daļas 1. punkta "f" apakšpunkts un trešā daļa, 8. panta pirmā daļa un otrās daļas 3. punkts, 9. panta pirmās daļas 7., 7.</w:t>
      </w:r>
      <w:r w:rsidR="00000000" w:rsidRPr="00000000" w:rsidDel="00000000">
        <w:rPr>
          <w:vertAlign w:val="superscript"/>
          <w:rtl w:val="0"/>
        </w:rPr>
        <w:t xml:space="preserve">1</w:t>
      </w:r>
      <w:r w:rsidR="00000000" w:rsidRPr="00000000" w:rsidDel="00000000">
        <w:rPr>
          <w:rtl w:val="0"/>
        </w:rPr>
        <w:t xml:space="preserve">, 9., 10., 11. un 13. punkts un otrās daļas 1., 2. un 6. punkts, kā arī 17.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4. punktu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darbību veicēja pienākumiem (5.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pienākumiem, darbojoties ar mēslošanas līdzekli sprāgstvielu prekursoru un amonija nitrāta mēslošanas līdzekli ar augstu slāpekļa saturu (5.</w:t>
      </w:r>
      <w:r w:rsidR="00000000" w:rsidRPr="00000000" w:rsidDel="00000000">
        <w:rPr>
          <w:vertAlign w:val="superscript"/>
          <w:rtl w:val="0"/>
        </w:rPr>
        <w:t xml:space="preserve">1</w:t>
      </w:r>
      <w:r w:rsidR="00000000" w:rsidRPr="00000000" w:rsidDel="00000000">
        <w:rPr>
          <w:rtl w:val="0"/>
        </w:rPr>
        <w:t xml:space="preserve"> panta pirmā, otrā, trešā, ceturtā, piektā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 punktu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detonācijnoturības atbilstību amonija nitrāta mēslošanas līdzeklim ar augstu slāpekļa saturu, īstenojot uzraudzību un kontroli (4. panta ceturtā daļa, kā arī 9. panta pirmās daļas 12. punkts)."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 punkta "a" apakšpunktu pēc vārdiem</w:t>
      </w:r>
      <w:r w:rsidR="00000000" w:rsidRPr="00000000" w:rsidDel="00000000">
        <w:rPr>
          <w:color w:val="#9b59b6"/>
          <w:rtl w:val="0"/>
        </w:rPr>
        <w:t xml:space="preserve"> </w:t>
      </w:r>
      <w:r w:rsidR="00000000" w:rsidRPr="00000000" w:rsidDel="00000000">
        <w:rPr>
          <w:rtl w:val="0"/>
        </w:rPr>
        <w:t xml:space="preserve">"mēslošanas līdzekļu" ar vārdu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punkta "h" apakšpunktu un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vārdus un skaitli "amonija nitrāta mēslošanas līdzekļus, kuros slāpekļa saturs ir 28 procenti vai vairāk no mēslošanas līdzekļa masas" ar vārdiem "amonija nitrāta mēslošanas līdzekļus ar augstu slāpekļa saturu".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 pants. Darbību veicēja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Darbību veicējs nodrošina, ka laikā, kad tas ir atbildīgs par mēslošanas līdzekli, tā uzglabāšanas un pārvadāšanas apstākļi negatīvi neietekmē mēslošanas līdzekļa atbilstību deklarētās kvalitātes rādītājiem. Ražotājs ir atbildīgs par mēslošanas līdzekļa kvalitāti un, ja nepieciešams, testē tirgū laisto mēslošanas līdzekli. Ja testēšanas rezultātā tiek konstatēts, ka mēslošanas līdzekļa kvalitāte neatbilst reģistrā deklarētajai kvalitātei, un neatbilstību nav iespējams novērst, ražotājs nedēļas laikā pēc neatbilstības konstatēšanas par to informē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Darbību veicējs nodrošina dienesta inspektoram piekļuvi mēslošanas līdzekļu ražošanas, uzglabāšanas, iepakošanas un tirdzniecības telpām, transportlīdzekļiem, kā arī mēslošanas līdzekļu uzskaites dokumentiem un pavaddokumentiem un sniedz pieprasīto informāciju par mēslošanas līdzekļu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Darbību veicējs, kas mēslošanas līdzekļus tirgo internetā, informē dienestu par tiešsaistes platformu, kurā tas tirgo mēslošanas līdzekli, kas atbilst normatīvajos aktos par mēslošanas līdzekļu identifikāciju, kvalitātes atbilstības novērtēšanu un tirdzniecību noteiktajām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likumu ar 5.</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w:t>
      </w:r>
      <w:r w:rsidR="00000000" w:rsidRPr="00000000" w:rsidDel="00000000">
        <w:rPr>
          <w:b w:val="1"/>
          <w:vertAlign w:val="superscript"/>
          <w:rtl w:val="0"/>
        </w:rPr>
        <w:t xml:space="preserve">1 </w:t>
      </w:r>
      <w:r w:rsidR="00000000" w:rsidRPr="00000000" w:rsidDel="00000000">
        <w:rPr>
          <w:b w:val="1"/>
          <w:rtl w:val="0"/>
        </w:rPr>
        <w:t xml:space="preserve">pants. Darbības veicēja pienākumi, darbojoties ar mēslošanas līdzekļiem sprāgstvielu prekursoriem un amonija nitrāta mēslošanas līdzekļiem ar augstu slāpekļa saturu</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Darbību veicējs pirms mēslošanas līdzekļa sprāgstvielu prekursora laišanas tirdzniecībā iesniedz dienestā tirdzniecības vietu sarakstu, norādot katras tirdzniecības vietas faktisko adresi. Ja darbību veicējs maina tirdzniecības vietu, tas nekavējoties informē dienestu par jaunās tirdzniecības vietas faktisko adresi.</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Darbību veicējs katru gadu līdz 31. janvārim iesniedz dienestā informāciju par apjomu, kādā iepriekšējā gadā pārdoti mēslošanas līdzekļi sprāgstvielu prekursori. Darbību veicējs dokumentus par pārdotajiem mēslošanas līdzekļiem sprāgstvielu prekursoriem glabā piecus gadus.</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Darbību veicējam mēslošanas līdzekli, kurā amonija nitrāta slāpekļa saturs ir 16 procentu vai vairāk no mēslošanas līdzekļa masas, atļauts pārdot, ja grāmatvedību reglamentējošos normatīvajos aktos paredzētajā darījuma attaisnojuma dokumentā darbību veicējs papildus iekļauj pircēja apliecinājumu par mēslošanas līdzekļa izmantošanu tikai augu mēslošanai vai ja to iegādājas personai, kura uzrāda atļauju, kas izsniegta saskaņā ar normatīvajiem aktiem par civilām vajadzībām paredzēto sprāgstvielu apriti.</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Darbību veicējs, kas pārdod mēslošanas līdzekli, kurā amonija nitrāta slāpekļa saturs ir 16 procentu vai vairāk no mēslošanas līdzekļa masas, papildus ziņām, kas noteiktas normatīvajos aktos par grāmatvedības kārtošanu un organizāciju, grāmatvedības reģistrā norāda:</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konkrētā mēslošanas līdzekļa nosaukumu un pamatsastāvu;</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ieņēmumu dienesta nodokļu maksātāja reģistrācijas kodu juridiskai personai vai personas kodu fiziskai personai.</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Darbību veicējs dienestā iesniedz detonācijnoturības testu, kas nav vecāks par trim mēnešiem no tā veikšanas brīža (vai šā testa kopiju), vismaz piecas darbdienas, bet ne agrāk kā 15 darbdienas pirms dienas, kad Latvijā no trešās valsts ieved amonija nitrāta mēslošanas līdzekli ar augstu slāpekļa saturu.</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Darbību veicējs vai tā pilnvarota persona, kas deklarē muitas procedūrai amonija nitrāta mēslošanas līdzekli ar augstu slāpekļa saturu, muitas deklarācijai pievieno vienu no šādiem dokumentiem:</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tranzīta muitas procedūrā – detonācijnoturības testu, kas nav vecāks par trim mēnešiem no tā veikšanas brīža (vai šā testa kopiju);</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muitas procedūrā laišanai brīvā apgrozībā – detonācijnoturības testu, kas nav vecāks par trim mēnešiem no tā veikšanas brīža (vai šā testa kopiju), un dienesta apliecinājumu par detonācijnoturības testa atbilstību."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Aizstāt 6. panta trešajā daļā vārdu "reģistrā" ar vārdiem "Kultūraugu uzraudzības valsts informācijas sistēmas mēslošanas līdzekļu valsts reģistrā (turpmāk – reģistrs)".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8. pantu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pants. Mēslošanas līdzekļu reģistrācija</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Ražot, iepakot, ievest un tirgot drīkst reģistrā iekļautus mēslošanas līdzekļus un ES mēslošanas līdzekļus ar CE zīmi, ja tie atbilst regulas 2019/1009 nosacījumiem un tirgū tiek laisti ar identifikācijas marķējuma, etiķetes vai pavaddokumenta tekstu latviešu valodā.</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Dienests mēslošanas līdzekli iekļauj reģistrā, pamatojoties uz ievedēja, ražotāja vai iepakotāja iesniegumu:</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bez termiņa ierobežojuma, ja tas ir paziņots mēslošanas līdzeklis vai mēslošanas līdzeklis, kas minēts normatīvajos aktos par mēslošanas līdzekļu identifikācijas, kvalitātes atbilstības novērtēšanas un tirdzniecības prasībām;</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uz diviem gadiem, ja tas nav minēts normatīvajos aktos par mēslošanas līdzekļu identifikācijas, kvalitātes atbilstības novērtēšanas un tirdzniecības prasībām vai neatbilst šīm prasībām;</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uz pieciem gadiem, ja tas ir ES mēslošanas līdzeklis ar CE zīmi un darbību veicējs to brīvprātīgi ir pieteicis iekļaušanai reģistrā."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9.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iekļauj mēslošanas līdzekļus reģistrā un izslēdz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6. 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7. punktā vārdus "veic to uzskaiti,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īstenojot uzraudzību un kontroli ES mēslošanas līdzekļiem ar CE zīmi, ir tiesīgs: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ņemt mēslošanas līdzekļu paraugus un nosūtīt tos analīzēm,</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pieprasīt no darbību veicēja papildinformāciju par pārbaudāmo mēslošanas līdzekli un tā piegādes ķēdi,</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pieprasīt darbību veicējam īstenot korektīvus pasākumus mēslošanas līdzekļa neatbilstību novēršanai vai riska mazināšanai, kā arī ierobežot vai aizliegt neatbilstošu mēslošanas līdzekļu pieejamību tirgū,</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atgūt no konkrētā darbību veicēja visas izmaksas, kas radušās saistībā ar neatbilstošu mēslošanas līdzekļu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 punktu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par trešajās valstīs ražotajiem mēslošanas līdzekļiem, kuriem viens no aprites posmiem ir ievešana, dara pieejamu informāciju par trešajās valstīs ražotajiem un no tām ievestajiem mēslošanas līdzekļiem, kas ir iekļauti reģistrā vai izslēgti no tā, lai Valsts ieņēmumu dienests īstenotu riskos balstītu muitas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ievieto savā tīmekļvietnē mēslošanas līdzekļu sprāgstvielu prekursoru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13. punktu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 nodrošina mēslošanas līdzekļu uzraudzību tiešsaistē, tostarp pieprasa ievietot tiešsaistes platformā brīdinājumu par iespējamo konkrētā mēslošanas līdzekļa lietošanas risku vai izņemt no tiešsaistes platformas informāciju par konkrēto mēslošanas līdzekli, ja konstatē tā neatbilstību normatīvajos aktos par mēslošanas līdzekļu identifikāciju, kvalitātes atbilstības novērtēšanu un tirdzniecību noteiktajām prasībām. Ja darbību veicējs neizpilda dienesta norādījumus, dienests ir tiesīgs pieprasīt tiešsaistes platformas īpašniekam ierobežot piekļuvi tiešsaistes platformai."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Izslēgt 10. panta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11. pantu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11. pants. Mēslošanas līdzekļu izslēgšana no reģistra</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Mēslošanas līdzekli izslēdz no reģistra:</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pēc mēslošanas līdzekļa ražotāja, iepakotāja vai ievedēja iesnieguma saņemšanas;</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ar atbilstošu dienesta lēmumu, ja:</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ražotais vai ievestais mēslošanas līdzeklis neatbilst normatīvajos aktos par mēslošanas līdzekļiem noteiktajām prasībām,</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darbības veicējs, kas produktu reģistrējis, ir izbeidzis savu saimniecisko darbību,</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darbības veicējs atsaka vai neļauj dienestam īstenot šā likuma 9. pantā minēto uzraudzību vai noņemt kontrolparaugus,</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paziņots mēslošanas līdzeklis vairs netiek likumīgi tirgots valstī, uz kuras kompetentās iestādes vai ražotāja apliecinājuma pamata tas tika iekļauts reģistrā, vai ir beidzies kompetentās iestādes vai ražotāja apliecinājuma derīguma termiņš."</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Izteikt 12.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12. pants. Reģistra informācijas nodošana atklātībai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vismaz reizi gadā nodod atklātībai datus, kas valsts uzraudzībā un kontrolē ir iegūti par mēslošanas līdzekļiem. Dienests nodod atklātībai informāciju par tiem mēslošanas līdzekļiem, kas atzīti par nekvalitatīviem, cilvēku, dzīvnieku veselībai un videi bīstamiem un ir izslēgti no reģistra, norādot izslēgšanas iemeslu."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Izslēgt 15.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16.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 Valsts nodeva par mēslošanas līdzekļa reģistrāciju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 panta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par mēslošanas līdzekļa reģistrāciju, ja tas nav ne paziņots mēslošanas līdzeklis, ne ES mēslošanas līdzeklis ar CE zīmi, maksā valsts nodevu."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pārejas noteikumus ar 18., 19. un 20. punktu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 Dienests līdz 2027. gada 1. martam no reģistra izslēdz mēslošanas līdzekļus ar marķējumu "EK mēslošanas līdzeklis". Pēc 2027. gada 1. marta tirgū atļauts darīt pieejamus tos EK mēslošanas līdzekļus, kas ražoti līdz 2022. gada 15. jūlijam.</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Dienests no reģistra izslēdz ES mēslošanas līdzekļus ar CE zīmi pēc tam, kad ir iestājies vēlākais no šādiem datumiem:</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2027. gada 1. marts;</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datums, līdz kuram ES mēslošanas līdzekli ar CE zīmi ir atļauts izmantot bioloģiskajā lauksaimniecībā;</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pieci gadi pēc datuma, kad ES mēslošanas līdzeklis ar CE zīmi iekļauts uzskaitē.</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Līdz attiecīgo Ministru kabineta noteikumu spēkā stāšanās dienai, bet ne ilgāk kā līdz 2027. gada 1. decembrim ir piemērojami šādi Ministru kabineta noteikumi, ciktāl tie nav pretrunā ar šo likumu:</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Ministru kabineta 2015. gada 1. septembra noteikumi Nr. 506 "Mēslošanas līdzekļu un substrātu identifikācijas, kvalitātes atbilstības novērtēšanas un tirdzniecības noteikumi";</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Ministru kabineta 2007. gada 30. janvāra noteikumi Nr. 83 "Noteikumi par valsts nodevu par mēslošanas līdzekļa un substrāta reģistrāciju vai atļaujas saņemšanu mēslošanas līdzekļa un substrāta ievešanai vai tirdzniecībai, kā arī tās maksāšanas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25-TA-2577</w:t>
    </w:r>
    <w:r>
      <w:br/>
    </w:r>
    <w:r w:rsidR="00000000" w:rsidRPr="00000000" w:rsidDel="00000000">
      <w:rPr>
        <w:rtl w:val="0"/>
      </w:rPr>
      <w:t xml:space="preserve">Izdrukāts 01.09.2026. 13.42 - 1.0.VK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25-TA-2577</w:t>
    </w:r>
    <w:r>
      <w:br/>
    </w:r>
    <w:r w:rsidR="00000000" w:rsidRPr="00000000" w:rsidDel="00000000">
      <w:rPr>
        <w:rtl w:val="0"/>
      </w:rPr>
      <w:t xml:space="preserve">Izdrukāts 01.09.2026. 13.42 - 1.0.VK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likumprojekts_(grozījumi)_25-TA-2577.docx</dc:title>
</cp:coreProperties>
</file>

<file path=docProps/custom.xml><?xml version="1.0" encoding="utf-8"?>
<Properties xmlns="http://schemas.openxmlformats.org/officeDocument/2006/custom-properties" xmlns:vt="http://schemas.openxmlformats.org/officeDocument/2006/docPropsVTypes"/>
</file>