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(Latvijas Vēstnesis, 2024,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programmas iznākuma rādītājs līdz 2029. gada 31. decembrim –  nacionāla, reģionāla vai vietēja mēroga valsts administrācijas vai sabiedrisko pakalpojumu iestāžu un pakalpojumu skaits, kas saņēmuši atbalstu,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programmas rezultāta rādītājs līdz 2029. gada 31. decembrim – iestādes, kas ieviesušas uzlabojumus izglītības un mācību sistēmu kvalitātei, efektivitātei un atbilstībai darba tirgum,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Finansējuma saņēmējs šo noteikumu 17.2. un 17.3. apakšpunktā minētās atbalstāmās darbības īsteno sadarbībā ar pašvaldībām, kas ir pirmsskolas, vispārējās un profesionālās izglītības iestāžu dibinātājas, valsts dibinātām vispārējās un profesionālās izglītības iestādēm (tai skaitā koledžām), valsts augstskolu dibinātām akreditētām izglītības iestādēm un citu juridisku un fizisku personu dibinātām akreditētām pirmsskolas, vispārējās un profesionālās izglītības iestādēm, kas īsteno Latvijā licencētas vispārējās izglītības programmas pirmsskolas, pamata un vidējās izglītības pakāpē un profesionālās izglītības programmas pamata un vidējās izglītības pakāpē."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noteikumu 13. punktā minētajiem sadarbības partneriem pieejamo finansējuma apmēru šo noteikumu 17.3. apakšpunktā minētās atbalstāmās darbības īstenošanai finansējuma saņēmējs aprēķina, pamatojoties uz Valsts izglītības informācijas sistēmas datiem par izglītojamo skaitu kārtējā mācību gada 1. oktobrī."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Projektu īsteno saskaņā ar vienošanos par projekta īstenošanu, bet ne ilgāk kā līdz 2029.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Grozījumu šo noteikumu 14. punktā, kas paredz šo noteikumu 13. punktā minētajiem sadarbības partneriem pieejamo finansējuma apmēru aprēķināt, pamatojoties uz Valsts izglītības informācijas sistēmas datiem par izglītojamo skaitu kārtējā mācību gada 1. oktobrī, piemēro, sākot ar 2026./2027. mācību gadu. Finansējuma apmēru par 2025./2026. mācību gadu šo noteikumu 13. punktā minētajiem sadarbības partneriem finansējuma saņēmējs aprēķina, pamatojoties uz Valsts izglītības informācijas sistēmas datiem par izglītojamo skaitu iepriekšējā mācību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26-TA-651</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26-TA-651</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noteikumu_(grozījumu)_projekts_26-TA-651.docx</dc:title>
</cp:coreProperties>
</file>

<file path=docProps/custom.xml><?xml version="1.0" encoding="utf-8"?>
<Properties xmlns="http://schemas.openxmlformats.org/officeDocument/2006/custom-properties" xmlns:vt="http://schemas.openxmlformats.org/officeDocument/2006/docPropsVTypes"/>
</file>