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16. janvārī (prot. Nr. 2 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2020. gada 11. augusta noteikumos Nr. 500 "Norvēģijas finanšu instrumenta 2014.–2021. gada perioda programmas "Uzņēmējdarbības attīstība, inovācijas un mazie un vidējie uzņēmumi" divpusējās sadarbības fonda iniciatīvu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Ekonomikas zonas finanšu instrumenta</w:t>
      </w:r>
      <w:r>
        <w:br/>
      </w:r>
      <w:r w:rsidR="00000000" w:rsidRPr="00000000" w:rsidDel="00000000">
        <w:rPr>
          <w:rStyle w:val="paragraph"/>
          <w:i w:val="1"/>
          <w:rtl w:val="0"/>
        </w:rPr>
        <w:t xml:space="preserve">un Norvēģijas finanšu instrumenta 2014.–2021. gada</w:t>
      </w:r>
      <w:r>
        <w:br/>
      </w:r>
      <w:r w:rsidR="00000000" w:rsidRPr="00000000" w:rsidDel="00000000">
        <w:rPr>
          <w:rStyle w:val="paragraph"/>
          <w:i w:val="1"/>
          <w:rtl w:val="0"/>
        </w:rPr>
        <w:t xml:space="preserve">perioda vadības likuma 15. panta 12.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2020. gada 11. augusta noteikumos Nr. 500 "Norvēģijas finanšu instrumenta 2014.–2021. gada perioda programmas "Uzņēmējdarbības attīstība, inovācijas un mazie un vidējie uzņēmumi" divpusējās sadarbības fonda iniciatīvu īstenošanas noteikumi" (Latvijas Vēstnesis, 2020, 157.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Saskaņā ar Latvijas Republikas un Norvēģijas Karalistes saprašanās memorandu par Norvēģijas finanšu instrumenta ieviešanu 2014.–2021. gadā (apstiprināts ar Ministru kabineta 2017. gada 5. decembra noteikumiem Nr. 713 "Par Latvijas Republikas un Norvēģijas Karalistes saprašanās memorandu par Norvēģijas finanšu instrumenta ieviešanu 2014.–2021. gadā") divpusējās sadarbības iniciatīvu īstenošanai programmā ir piešķirti 418 500 </w:t>
      </w:r>
      <w:r w:rsidR="00000000" w:rsidRPr="00000000" w:rsidDel="00000000">
        <w:rPr>
          <w:i w:val="1"/>
          <w:rtl w:val="0"/>
        </w:rPr>
        <w:t xml:space="preserve">euro</w:t>
      </w:r>
      <w:r w:rsidR="00000000" w:rsidRPr="00000000" w:rsidDel="00000000">
        <w:rPr>
          <w:rtl w:val="0"/>
        </w:rPr>
        <w:t xml:space="preserve"> (turpmāk – divpusējās sadarbības fonda finansējums), kas ir Norvēģijas finanšu instrumenta līdzfinansējums 100 %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Ja tiek pārkāpti regulas Nr. 1407/2013 nosacījumi, komersantam ir pienākums atmaksāt programmas apsaimniekotājam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1.1. apakšpunkts stājas spēkā nākamajā dienā pēc tam, kad oficiālajā izdevumā "Latvijas Vēstnesis" publicēts paziņojums par to, ka programmas finansējuma pārdale ir saskaņota starp Finanšu ministriju un Finanšu instrumenta biroju.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Investīciju un attīstības aģentūra pēc tam, kad no Finanšu ministrijas ir saņemta informācija par programmas finansējuma pārdales saskaņošanu, nosūta attiecīgu paziņojumu publicēšanai oficiālajā izdevumā "Latvijas Vēstnesis".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23-TA-2483</w:t>
    </w:r>
    <w:r>
      <w:br/>
    </w:r>
    <w:r w:rsidR="00000000" w:rsidRPr="00000000" w:rsidDel="00000000">
      <w:rPr>
        <w:rtl w:val="0"/>
      </w:rPr>
      <w:t xml:space="preserve">Izdrukāts 29.07.2026. 23.29 - 1.0.VK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23-TA-2483</w:t>
    </w:r>
    <w:r>
      <w:br/>
    </w:r>
    <w:r w:rsidR="00000000" w:rsidRPr="00000000" w:rsidDel="00000000">
      <w:rPr>
        <w:rtl w:val="0"/>
      </w:rPr>
      <w:t xml:space="preserve">Izdrukāts 29.07.2026. 23.29 - 1.0.VK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noteikumu_(grozījumu)_projekts_23-TA-2483.docx</dc:title>
</cp:coreProperties>
</file>

<file path=docProps/custom.xml><?xml version="1.0" encoding="utf-8"?>
<Properties xmlns="http://schemas.openxmlformats.org/officeDocument/2006/custom-properties" xmlns:vt="http://schemas.openxmlformats.org/officeDocument/2006/docPropsVTypes"/>
</file>