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 maijā (prot. Nr. 24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29. novembra noteikumos Nr. 752 "Noteikumi par profesionālās kvalifikācijas eksāmenu saturu un norises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33. punktu un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7. panta 10.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29. novembra noteikumos Nr. 752 "Noteikumi par profesionālās kvalifikācijas eksāmenu saturu un norises kārtību" (Latvijas Vēstnesis, 2022, 233.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VII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Eksaminējamam, kas atbilst Ukrainas civiliedzīvotāju atbalsta likumā noteiktajam Ukrainas civiliedzīvotāja statusam, eksaminācijas institūcija eksāmena norises plānojumā var noteikt atbalsta pasākumu ar eksāmena laika pagarinājumu un iespēju izmantot vārdnīcu, saskaņojot ar centru vai kultūrizglītības centru."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23-TA-249</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23-TA-249</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noteikumu_(grozījumu)_projekts_23-TA-249.docx</dc:title>
</cp:coreProperties>
</file>

<file path=docProps/custom.xml><?xml version="1.0" encoding="utf-8"?>
<Properties xmlns="http://schemas.openxmlformats.org/officeDocument/2006/custom-properties" xmlns:vt="http://schemas.openxmlformats.org/officeDocument/2006/docPropsVTypes"/>
</file>