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2011. gada 19. oktobra noteikumos Nr. 823 "Noteikumi par lidlaukā sniegto drošības un glābšanas pasākumu maksu"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</w:t>
      </w:r>
      <w:r w:rsidR="00000000" w:rsidRPr="00000000" w:rsidDel="00000000">
        <w:rPr>
          <w:rStyle w:val="paragraph"/>
          <w:i w:val="1"/>
          <w:rtl w:val="0"/>
        </w:rPr>
        <w:t xml:space="preserve">Par aviāciju</w:t>
      </w:r>
      <w:r w:rsidR="00000000" w:rsidRPr="00000000" w:rsidDel="00000000">
        <w:rPr>
          <w:rStyle w:val="paragraph"/>
          <w:i w:val="1"/>
          <w:rtl w:val="0"/>
        </w:rPr>
        <w:t xml:space="preserve">" 28.panta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2011. gada 19. oktobra noteikumos Nr. 823 "Noteikumi par lidlaukā sniegto drošības un glābšanas pasākumu maksu" (Latvijas Vēstnesis, 2011, 170.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"4.3. tranzīta un transfēra pasažieri maksā drošības maksu ar gaisa pārvadātāju starpniecību, − EUR 0,49 EUR par katru tranzīta un transfēra pasažieri.";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No drošības maksas ir atbrīvoti pasažieri, kuri nav sasnieguši divu gadu vecumu.";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Šo noteikumu 4.1. un 4.3. apakšpunktā minēto drošības maksu pasažieri maksā, norēķinoties ar gaisa pārvadātājiem par aviobiļetēm.";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9.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"9.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Saskaņā ar šo noteikumu 4.3. apakšpunktu iekasēto drošības maksu saņem Civilās aviācijas aģentūra šo noteikumu 3.2. apakšpunktā minēto pakalpojumu izmaksu segšanai.";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"13. Lidosta "Rīga" katru mēnesi līdz piecpadsmitajam datumam iesniedz Civilās aviācijas aģentūrā pārskatu par iepriekšējā mēnesī (turpmāk − pārskata periodā) iekasēto drošības maksu. Pārskatā iekļauj informāciju par apkalpoto izlidojošo, tranzīta un transfēra pasažieru skaitu."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Grozījumi šo noteikumu 4., 5., 6., 9.</w:t>
      </w:r>
      <w:r w:rsidR="00000000" w:rsidRPr="00000000" w:rsidDel="00000000">
        <w:rPr>
          <w:vertAlign w:val="superscript"/>
          <w:rtl w:val="0"/>
        </w:rPr>
        <w:t xml:space="preserve">1 </w:t>
      </w:r>
      <w:r w:rsidR="00000000" w:rsidRPr="00000000" w:rsidDel="00000000">
        <w:rPr>
          <w:rtl w:val="0"/>
        </w:rPr>
        <w:t xml:space="preserve">un 13. punktā stājas spēkā 2022.gada 1.maijā.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22-TA-544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22-TA-544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noteikumu_(grozījumu)_projekts_22-TA-544.docx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